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4A1B04">
      <w:pPr>
        <w:jc w:val="center"/>
        <w:rPr>
          <w:rFonts w:hint="eastAsia" w:cs="黑体" w:asciiTheme="minorEastAsia" w:hAnsiTheme="minorEastAsia" w:eastAsiaTheme="minorEastAsia"/>
          <w:bCs/>
          <w:sz w:val="36"/>
          <w:szCs w:val="36"/>
        </w:rPr>
      </w:pPr>
      <w:bookmarkStart w:id="0" w:name="_Toc109524868"/>
      <w:bookmarkStart w:id="1" w:name="_Toc109525034"/>
    </w:p>
    <w:p w14:paraId="46F0FD2E">
      <w:pPr>
        <w:jc w:val="center"/>
        <w:rPr>
          <w:rFonts w:hint="eastAsia" w:asciiTheme="minorEastAsia" w:hAnsiTheme="minorEastAsia" w:eastAsiaTheme="minorEastAsia"/>
          <w:bCs/>
          <w:sz w:val="44"/>
          <w:szCs w:val="44"/>
        </w:rPr>
      </w:pPr>
      <w:r>
        <w:rPr>
          <w:rFonts w:hint="eastAsia" w:cs="黑体" w:asciiTheme="minorEastAsia" w:hAnsiTheme="minorEastAsia" w:eastAsiaTheme="minorEastAsia"/>
          <w:bCs/>
          <w:sz w:val="44"/>
          <w:szCs w:val="44"/>
          <w:lang w:val="en-US" w:eastAsia="zh-CN"/>
        </w:rPr>
        <w:t>天俊悦府</w:t>
      </w:r>
      <w:r>
        <w:rPr>
          <w:rFonts w:hint="eastAsia" w:cs="黑体" w:asciiTheme="minorEastAsia" w:hAnsiTheme="minorEastAsia" w:eastAsiaTheme="minorEastAsia"/>
          <w:bCs/>
          <w:sz w:val="44"/>
          <w:szCs w:val="44"/>
        </w:rPr>
        <w:t>小区监控系统升级改造项目</w:t>
      </w:r>
    </w:p>
    <w:p w14:paraId="6E3466AA">
      <w:pPr>
        <w:spacing w:before="240" w:beforeLines="100"/>
        <w:jc w:val="center"/>
        <w:rPr>
          <w:rFonts w:hint="eastAsia" w:asciiTheme="minorEastAsia" w:hAnsiTheme="minorEastAsia" w:eastAsiaTheme="minorEastAsia"/>
          <w:bCs/>
          <w:sz w:val="36"/>
          <w:szCs w:val="36"/>
        </w:rPr>
      </w:pPr>
      <w:r>
        <w:rPr>
          <w:rFonts w:asciiTheme="minorEastAsia" w:hAnsiTheme="minorEastAsia" w:eastAsiaTheme="minorEastAsia"/>
          <w:bCs/>
          <w:sz w:val="36"/>
          <w:szCs w:val="36"/>
        </w:rPr>
        <w:t>（邀请招标）</w:t>
      </w:r>
    </w:p>
    <w:p w14:paraId="55AF1D2E">
      <w:pPr>
        <w:jc w:val="center"/>
        <w:rPr>
          <w:rFonts w:hint="eastAsia" w:asciiTheme="minorEastAsia" w:hAnsiTheme="minorEastAsia" w:eastAsiaTheme="minorEastAsia"/>
          <w:b/>
          <w:bCs/>
          <w:sz w:val="36"/>
          <w:szCs w:val="36"/>
        </w:rPr>
      </w:pPr>
    </w:p>
    <w:p w14:paraId="06669D2A">
      <w:pPr>
        <w:jc w:val="center"/>
        <w:rPr>
          <w:rFonts w:hint="eastAsia" w:asciiTheme="minorEastAsia" w:hAnsiTheme="minorEastAsia" w:eastAsiaTheme="minorEastAsia"/>
          <w:b/>
          <w:bCs/>
          <w:sz w:val="36"/>
          <w:szCs w:val="36"/>
        </w:rPr>
      </w:pPr>
    </w:p>
    <w:p w14:paraId="6C1939A6">
      <w:pPr>
        <w:jc w:val="center"/>
        <w:rPr>
          <w:rFonts w:hint="eastAsia" w:asciiTheme="minorEastAsia" w:hAnsiTheme="minorEastAsia" w:eastAsiaTheme="minorEastAsia"/>
          <w:b/>
          <w:bCs/>
          <w:sz w:val="36"/>
          <w:szCs w:val="36"/>
        </w:rPr>
      </w:pPr>
    </w:p>
    <w:p w14:paraId="364F871A">
      <w:pPr>
        <w:spacing w:line="360" w:lineRule="auto"/>
        <w:jc w:val="center"/>
        <w:rPr>
          <w:rFonts w:hint="eastAsia" w:cs="楷体_GB2312" w:asciiTheme="minorEastAsia" w:hAnsiTheme="minorEastAsia" w:eastAsiaTheme="minorEastAsia"/>
          <w:b/>
          <w:bCs/>
          <w:sz w:val="72"/>
          <w:szCs w:val="72"/>
        </w:rPr>
      </w:pPr>
      <w:r>
        <w:rPr>
          <w:rFonts w:hint="eastAsia" w:cs="楷体_GB2312" w:asciiTheme="minorEastAsia" w:hAnsiTheme="minorEastAsia" w:eastAsiaTheme="minorEastAsia"/>
          <w:b/>
          <w:bCs/>
          <w:sz w:val="72"/>
          <w:szCs w:val="72"/>
        </w:rPr>
        <w:t>招</w:t>
      </w:r>
    </w:p>
    <w:p w14:paraId="2B0E9E46">
      <w:pPr>
        <w:spacing w:line="360" w:lineRule="auto"/>
        <w:jc w:val="center"/>
        <w:rPr>
          <w:rFonts w:hint="eastAsia" w:cs="楷体_GB2312" w:asciiTheme="minorEastAsia" w:hAnsiTheme="minorEastAsia" w:eastAsiaTheme="minorEastAsia"/>
          <w:b/>
          <w:bCs/>
          <w:sz w:val="72"/>
          <w:szCs w:val="72"/>
        </w:rPr>
      </w:pPr>
      <w:r>
        <w:rPr>
          <w:rFonts w:hint="eastAsia" w:cs="楷体_GB2312" w:asciiTheme="minorEastAsia" w:hAnsiTheme="minorEastAsia" w:eastAsiaTheme="minorEastAsia"/>
          <w:b/>
          <w:bCs/>
          <w:sz w:val="72"/>
          <w:szCs w:val="72"/>
        </w:rPr>
        <w:t>标</w:t>
      </w:r>
    </w:p>
    <w:p w14:paraId="6DB97933">
      <w:pPr>
        <w:spacing w:line="360" w:lineRule="auto"/>
        <w:jc w:val="center"/>
        <w:rPr>
          <w:rFonts w:hint="eastAsia" w:cs="楷体_GB2312" w:asciiTheme="minorEastAsia" w:hAnsiTheme="minorEastAsia" w:eastAsiaTheme="minorEastAsia"/>
          <w:b/>
          <w:bCs/>
          <w:sz w:val="72"/>
          <w:szCs w:val="72"/>
        </w:rPr>
      </w:pPr>
      <w:r>
        <w:rPr>
          <w:rFonts w:hint="eastAsia" w:cs="楷体_GB2312" w:asciiTheme="minorEastAsia" w:hAnsiTheme="minorEastAsia" w:eastAsiaTheme="minorEastAsia"/>
          <w:b/>
          <w:bCs/>
          <w:sz w:val="72"/>
          <w:szCs w:val="72"/>
        </w:rPr>
        <w:t>文</w:t>
      </w:r>
    </w:p>
    <w:p w14:paraId="028C6D93">
      <w:pPr>
        <w:spacing w:line="360" w:lineRule="auto"/>
        <w:jc w:val="center"/>
        <w:rPr>
          <w:rFonts w:hint="eastAsia" w:asciiTheme="minorEastAsia" w:hAnsiTheme="minorEastAsia" w:eastAsiaTheme="minorEastAsia"/>
          <w:b/>
          <w:bCs/>
          <w:sz w:val="72"/>
          <w:szCs w:val="72"/>
        </w:rPr>
      </w:pPr>
      <w:r>
        <w:rPr>
          <w:rFonts w:hint="eastAsia" w:cs="楷体_GB2312" w:asciiTheme="minorEastAsia" w:hAnsiTheme="minorEastAsia" w:eastAsiaTheme="minorEastAsia"/>
          <w:b/>
          <w:bCs/>
          <w:sz w:val="72"/>
          <w:szCs w:val="72"/>
        </w:rPr>
        <w:t>件</w:t>
      </w:r>
    </w:p>
    <w:p w14:paraId="10CEBB44">
      <w:pPr>
        <w:pStyle w:val="24"/>
        <w:spacing w:line="360" w:lineRule="auto"/>
        <w:jc w:val="left"/>
        <w:rPr>
          <w:rFonts w:hint="eastAsia" w:cs="Times New Roman" w:asciiTheme="minorEastAsia" w:hAnsiTheme="minorEastAsia" w:eastAsiaTheme="minorEastAsia"/>
          <w:sz w:val="30"/>
          <w:szCs w:val="30"/>
        </w:rPr>
      </w:pPr>
    </w:p>
    <w:p w14:paraId="6D043128">
      <w:pPr>
        <w:adjustRightInd w:val="0"/>
        <w:snapToGrid w:val="0"/>
        <w:spacing w:line="360" w:lineRule="auto"/>
        <w:rPr>
          <w:rFonts w:hint="eastAsia" w:asciiTheme="minorEastAsia" w:hAnsiTheme="minorEastAsia" w:eastAsiaTheme="minorEastAsia"/>
          <w:snapToGrid w:val="0"/>
          <w:sz w:val="24"/>
          <w:szCs w:val="24"/>
        </w:rPr>
      </w:pPr>
    </w:p>
    <w:p w14:paraId="75DE917E">
      <w:pPr>
        <w:adjustRightInd w:val="0"/>
        <w:snapToGrid w:val="0"/>
        <w:spacing w:line="360" w:lineRule="auto"/>
        <w:rPr>
          <w:rFonts w:hint="eastAsia" w:asciiTheme="minorEastAsia" w:hAnsiTheme="minorEastAsia" w:eastAsiaTheme="minorEastAsia"/>
          <w:snapToGrid w:val="0"/>
          <w:sz w:val="24"/>
          <w:szCs w:val="24"/>
        </w:rPr>
      </w:pPr>
    </w:p>
    <w:p w14:paraId="5620A9BB">
      <w:pPr>
        <w:adjustRightInd w:val="0"/>
        <w:snapToGrid w:val="0"/>
        <w:spacing w:line="360" w:lineRule="auto"/>
        <w:jc w:val="left"/>
        <w:rPr>
          <w:rFonts w:hint="eastAsia" w:asciiTheme="minorEastAsia" w:hAnsiTheme="minorEastAsia" w:eastAsiaTheme="minorEastAsia"/>
          <w:snapToGrid w:val="0"/>
          <w:sz w:val="24"/>
          <w:szCs w:val="24"/>
        </w:rPr>
      </w:pPr>
    </w:p>
    <w:p w14:paraId="651001F6">
      <w:pPr>
        <w:adjustRightInd w:val="0"/>
        <w:snapToGrid w:val="0"/>
        <w:spacing w:line="360" w:lineRule="auto"/>
        <w:ind w:firstLine="1600" w:firstLineChars="500"/>
        <w:jc w:val="left"/>
        <w:rPr>
          <w:rFonts w:hint="eastAsia" w:cs="楷体_GB2312" w:asciiTheme="minorEastAsia" w:hAnsiTheme="minorEastAsia" w:eastAsiaTheme="minorEastAsia"/>
          <w:bCs/>
          <w:snapToGrid w:val="0"/>
          <w:sz w:val="32"/>
          <w:szCs w:val="32"/>
          <w:highlight w:val="yellow"/>
        </w:rPr>
      </w:pPr>
      <w:r>
        <w:rPr>
          <w:rFonts w:hint="eastAsia" w:cs="楷体_GB2312" w:asciiTheme="minorEastAsia" w:hAnsiTheme="minorEastAsia" w:eastAsiaTheme="minorEastAsia"/>
          <w:bCs/>
          <w:snapToGrid w:val="0"/>
          <w:sz w:val="32"/>
          <w:szCs w:val="32"/>
        </w:rPr>
        <w:t>招 标 人</w:t>
      </w:r>
      <w:r>
        <w:rPr>
          <w:rFonts w:cs="楷体_GB2312" w:asciiTheme="minorEastAsia" w:hAnsiTheme="minorEastAsia" w:eastAsiaTheme="minorEastAsia"/>
          <w:bCs/>
          <w:snapToGrid w:val="0"/>
          <w:sz w:val="32"/>
          <w:szCs w:val="32"/>
        </w:rPr>
        <w:t>:</w:t>
      </w:r>
    </w:p>
    <w:p w14:paraId="390A6EBF">
      <w:pPr>
        <w:adjustRightInd w:val="0"/>
        <w:snapToGrid w:val="0"/>
        <w:spacing w:line="360" w:lineRule="auto"/>
        <w:ind w:firstLine="1600" w:firstLineChars="500"/>
        <w:jc w:val="left"/>
        <w:rPr>
          <w:rFonts w:hint="eastAsia" w:asciiTheme="minorEastAsia" w:hAnsiTheme="minorEastAsia" w:eastAsiaTheme="minorEastAsia"/>
          <w:bCs/>
          <w:snapToGrid w:val="0"/>
          <w:sz w:val="32"/>
          <w:szCs w:val="32"/>
        </w:rPr>
      </w:pPr>
      <w:r>
        <w:rPr>
          <w:rFonts w:hint="eastAsia" w:cs="楷体_GB2312" w:asciiTheme="minorEastAsia" w:hAnsiTheme="minorEastAsia" w:eastAsiaTheme="minorEastAsia"/>
          <w:bCs/>
          <w:snapToGrid w:val="0"/>
          <w:sz w:val="32"/>
          <w:szCs w:val="32"/>
        </w:rPr>
        <w:t>发放时间</w:t>
      </w:r>
      <w:r>
        <w:rPr>
          <w:rFonts w:cs="楷体_GB2312" w:asciiTheme="minorEastAsia" w:hAnsiTheme="minorEastAsia" w:eastAsiaTheme="minorEastAsia"/>
          <w:bCs/>
          <w:snapToGrid w:val="0"/>
          <w:sz w:val="32"/>
          <w:szCs w:val="32"/>
        </w:rPr>
        <w:t xml:space="preserve">: </w:t>
      </w:r>
      <w:r>
        <w:rPr>
          <w:rFonts w:hint="eastAsia" w:cs="楷体_GB2312" w:asciiTheme="minorEastAsia" w:hAnsiTheme="minorEastAsia" w:eastAsiaTheme="minorEastAsia"/>
          <w:bCs/>
          <w:snapToGrid w:val="0"/>
          <w:sz w:val="32"/>
          <w:szCs w:val="32"/>
        </w:rPr>
        <w:t>202</w:t>
      </w:r>
      <w:r>
        <w:rPr>
          <w:rFonts w:hint="eastAsia" w:cs="楷体_GB2312" w:asciiTheme="minorEastAsia" w:hAnsiTheme="minorEastAsia" w:eastAsiaTheme="minorEastAsia"/>
          <w:bCs/>
          <w:snapToGrid w:val="0"/>
          <w:sz w:val="32"/>
          <w:szCs w:val="32"/>
          <w:lang w:val="en-US" w:eastAsia="zh-CN"/>
        </w:rPr>
        <w:t>6</w:t>
      </w:r>
      <w:r>
        <w:rPr>
          <w:rFonts w:hint="eastAsia" w:cs="楷体_GB2312" w:asciiTheme="minorEastAsia" w:hAnsiTheme="minorEastAsia" w:eastAsiaTheme="minorEastAsia"/>
          <w:bCs/>
          <w:snapToGrid w:val="0"/>
          <w:sz w:val="32"/>
          <w:szCs w:val="32"/>
        </w:rPr>
        <w:t>年</w:t>
      </w:r>
      <w:r>
        <w:rPr>
          <w:rFonts w:hint="eastAsia" w:cs="楷体_GB2312" w:asciiTheme="minorEastAsia" w:hAnsiTheme="minorEastAsia" w:eastAsiaTheme="minorEastAsia"/>
          <w:bCs/>
          <w:snapToGrid w:val="0"/>
          <w:sz w:val="32"/>
          <w:szCs w:val="32"/>
          <w:lang w:val="en-US" w:eastAsia="zh-CN"/>
        </w:rPr>
        <w:t>5</w:t>
      </w:r>
      <w:r>
        <w:rPr>
          <w:rFonts w:hint="eastAsia" w:cs="楷体_GB2312" w:asciiTheme="minorEastAsia" w:hAnsiTheme="minorEastAsia" w:eastAsiaTheme="minorEastAsia"/>
          <w:bCs/>
          <w:snapToGrid w:val="0"/>
          <w:sz w:val="32"/>
          <w:szCs w:val="32"/>
        </w:rPr>
        <w:t>月</w:t>
      </w:r>
      <w:r>
        <w:rPr>
          <w:rFonts w:hint="eastAsia" w:cs="楷体_GB2312" w:asciiTheme="minorEastAsia" w:hAnsiTheme="minorEastAsia" w:eastAsiaTheme="minorEastAsia"/>
          <w:bCs/>
          <w:snapToGrid w:val="0"/>
          <w:sz w:val="32"/>
          <w:szCs w:val="32"/>
          <w:lang w:val="en-US" w:eastAsia="zh-CN"/>
        </w:rPr>
        <w:t>18</w:t>
      </w:r>
      <w:r>
        <w:rPr>
          <w:rFonts w:hint="eastAsia" w:cs="楷体_GB2312" w:asciiTheme="minorEastAsia" w:hAnsiTheme="minorEastAsia" w:eastAsiaTheme="minorEastAsia"/>
          <w:bCs/>
          <w:snapToGrid w:val="0"/>
          <w:sz w:val="32"/>
          <w:szCs w:val="32"/>
        </w:rPr>
        <w:t>日</w:t>
      </w:r>
    </w:p>
    <w:p w14:paraId="6CD6A99C">
      <w:pPr>
        <w:spacing w:after="156" w:line="420" w:lineRule="exact"/>
        <w:ind w:right="-4"/>
        <w:jc w:val="center"/>
        <w:rPr>
          <w:rFonts w:hint="eastAsia" w:cs="楷体_GB2312" w:asciiTheme="minorEastAsia" w:hAnsiTheme="minorEastAsia" w:eastAsiaTheme="minorEastAsia"/>
          <w:sz w:val="48"/>
          <w:szCs w:val="48"/>
        </w:rPr>
        <w:sectPr>
          <w:footerReference r:id="rId3" w:type="default"/>
          <w:pgSz w:w="11900" w:h="16841"/>
          <w:pgMar w:top="1440" w:right="1080" w:bottom="1440" w:left="1080" w:header="0" w:footer="850" w:gutter="0"/>
          <w:pgNumType w:fmt="numberInDash" w:start="1"/>
          <w:cols w:space="720" w:num="1"/>
          <w:docGrid w:linePitch="360" w:charSpace="0"/>
        </w:sectPr>
      </w:pPr>
    </w:p>
    <w:p w14:paraId="75BF9B55">
      <w:pPr>
        <w:spacing w:after="156" w:line="420" w:lineRule="exact"/>
        <w:ind w:right="-4"/>
        <w:jc w:val="center"/>
        <w:rPr>
          <w:rFonts w:hint="eastAsia" w:cs="楷体_GB2312" w:asciiTheme="minorEastAsia" w:hAnsiTheme="minorEastAsia" w:eastAsiaTheme="minorEastAsia"/>
          <w:sz w:val="48"/>
          <w:szCs w:val="48"/>
        </w:rPr>
      </w:pPr>
    </w:p>
    <w:p w14:paraId="3BA620E9">
      <w:pPr>
        <w:spacing w:after="156" w:line="420" w:lineRule="exact"/>
        <w:ind w:right="-4"/>
        <w:jc w:val="center"/>
        <w:rPr>
          <w:rFonts w:hint="eastAsia" w:asciiTheme="minorEastAsia" w:hAnsiTheme="minorEastAsia" w:eastAsiaTheme="minorEastAsia"/>
          <w:sz w:val="48"/>
          <w:szCs w:val="48"/>
        </w:rPr>
      </w:pPr>
      <w:r>
        <w:rPr>
          <w:rFonts w:hint="eastAsia" w:cs="楷体_GB2312" w:asciiTheme="minorEastAsia" w:hAnsiTheme="minorEastAsia" w:eastAsiaTheme="minorEastAsia"/>
          <w:sz w:val="48"/>
          <w:szCs w:val="48"/>
        </w:rPr>
        <w:t>目 录</w:t>
      </w:r>
    </w:p>
    <w:p w14:paraId="0B875575">
      <w:pPr>
        <w:spacing w:after="156" w:line="420" w:lineRule="exact"/>
        <w:ind w:right="-4"/>
        <w:rPr>
          <w:rFonts w:hint="eastAsia" w:asciiTheme="minorEastAsia" w:hAnsiTheme="minorEastAsia" w:eastAsiaTheme="minorEastAsia"/>
          <w:sz w:val="48"/>
          <w:szCs w:val="48"/>
        </w:rPr>
      </w:pPr>
    </w:p>
    <w:p w14:paraId="7048F959">
      <w:pPr>
        <w:pStyle w:val="36"/>
        <w:spacing w:line="360" w:lineRule="auto"/>
        <w:ind w:right="101" w:rightChars="48" w:firstLine="560" w:firstLineChars="200"/>
        <w:rPr>
          <w:rFonts w:hint="eastAsia" w:cs="Times New Roman" w:asciiTheme="minorEastAsia" w:hAnsiTheme="minorEastAsia" w:eastAsiaTheme="minorEastAsia"/>
          <w:sz w:val="28"/>
          <w:szCs w:val="28"/>
        </w:rPr>
      </w:pPr>
      <w:r>
        <w:rPr>
          <w:rStyle w:val="52"/>
          <w:rFonts w:asciiTheme="minorEastAsia" w:hAnsiTheme="minorEastAsia" w:eastAsiaTheme="minorEastAsia"/>
          <w:color w:val="auto"/>
          <w:sz w:val="28"/>
          <w:szCs w:val="28"/>
        </w:rPr>
        <w:fldChar w:fldCharType="begin"/>
      </w:r>
      <w:r>
        <w:rPr>
          <w:rStyle w:val="52"/>
          <w:rFonts w:asciiTheme="minorEastAsia" w:hAnsiTheme="minorEastAsia" w:eastAsiaTheme="minorEastAsia"/>
          <w:color w:val="auto"/>
          <w:sz w:val="28"/>
          <w:szCs w:val="28"/>
        </w:rPr>
        <w:instrText xml:space="preserve"> TOC \o "1-3" \h \z </w:instrText>
      </w:r>
      <w:r>
        <w:rPr>
          <w:rStyle w:val="52"/>
          <w:rFonts w:asciiTheme="minorEastAsia" w:hAnsiTheme="minorEastAsia" w:eastAsiaTheme="minorEastAsia"/>
          <w:color w:val="auto"/>
          <w:sz w:val="28"/>
          <w:szCs w:val="28"/>
        </w:rPr>
        <w:fldChar w:fldCharType="separate"/>
      </w:r>
      <w:r>
        <w:fldChar w:fldCharType="begin"/>
      </w:r>
      <w:r>
        <w:instrText xml:space="preserve"> HYPERLINK \l "_Toc257704364" </w:instrText>
      </w:r>
      <w:r>
        <w:fldChar w:fldCharType="separate"/>
      </w:r>
      <w:r>
        <w:rPr>
          <w:rStyle w:val="52"/>
          <w:rFonts w:hint="eastAsia" w:cs="楷体_GB2312" w:asciiTheme="minorEastAsia" w:hAnsiTheme="minorEastAsia" w:eastAsiaTheme="minorEastAsia"/>
          <w:color w:val="auto"/>
          <w:sz w:val="28"/>
          <w:szCs w:val="28"/>
        </w:rPr>
        <w:t>第一章 投标须知</w:t>
      </w:r>
      <w:r>
        <w:rPr>
          <w:rStyle w:val="52"/>
          <w:rFonts w:hint="eastAsia" w:cs="楷体_GB2312" w:asciiTheme="minorEastAsia" w:hAnsiTheme="minorEastAsia" w:eastAsiaTheme="minorEastAsia"/>
          <w:color w:val="auto"/>
          <w:sz w:val="28"/>
          <w:szCs w:val="28"/>
        </w:rPr>
        <w:fldChar w:fldCharType="end"/>
      </w:r>
    </w:p>
    <w:p w14:paraId="68B4DBE9">
      <w:pPr>
        <w:pStyle w:val="36"/>
        <w:spacing w:line="360" w:lineRule="auto"/>
        <w:ind w:right="101" w:rightChars="48" w:firstLine="1120" w:firstLineChars="400"/>
        <w:rPr>
          <w:rStyle w:val="52"/>
          <w:rFonts w:hint="eastAsia" w:cs="Times New Roman" w:asciiTheme="minorEastAsia" w:hAnsiTheme="minorEastAsia" w:eastAsiaTheme="minorEastAsia"/>
          <w:color w:val="auto"/>
          <w:sz w:val="28"/>
          <w:szCs w:val="28"/>
        </w:rPr>
      </w:pPr>
      <w:r>
        <w:rPr>
          <w:rStyle w:val="52"/>
          <w:rFonts w:hint="eastAsia" w:cs="楷体_GB2312" w:asciiTheme="minorEastAsia" w:hAnsiTheme="minorEastAsia" w:eastAsiaTheme="minorEastAsia"/>
          <w:color w:val="auto"/>
          <w:sz w:val="28"/>
          <w:szCs w:val="28"/>
          <w:u w:val="none"/>
        </w:rPr>
        <w:t>投标人须知</w:t>
      </w:r>
      <w:r>
        <w:fldChar w:fldCharType="begin"/>
      </w:r>
      <w:r>
        <w:instrText xml:space="preserve"> HYPERLINK \l "_Toc257704365" </w:instrText>
      </w:r>
      <w:r>
        <w:fldChar w:fldCharType="separate"/>
      </w:r>
      <w:r>
        <w:rPr>
          <w:rStyle w:val="52"/>
          <w:rFonts w:hint="eastAsia" w:cs="楷体_GB2312" w:asciiTheme="minorEastAsia" w:hAnsiTheme="minorEastAsia" w:eastAsiaTheme="minorEastAsia"/>
          <w:color w:val="auto"/>
          <w:sz w:val="28"/>
          <w:szCs w:val="28"/>
        </w:rPr>
        <w:t>前附表</w:t>
      </w:r>
      <w:r>
        <w:rPr>
          <w:rStyle w:val="52"/>
          <w:rFonts w:hint="eastAsia" w:cs="楷体_GB2312" w:asciiTheme="minorEastAsia" w:hAnsiTheme="minorEastAsia" w:eastAsiaTheme="minorEastAsia"/>
          <w:color w:val="auto"/>
          <w:sz w:val="28"/>
          <w:szCs w:val="28"/>
        </w:rPr>
        <w:fldChar w:fldCharType="end"/>
      </w:r>
    </w:p>
    <w:p w14:paraId="49F15C48">
      <w:pPr>
        <w:pStyle w:val="36"/>
        <w:spacing w:line="360" w:lineRule="auto"/>
        <w:ind w:right="101" w:rightChars="48" w:firstLine="1120" w:firstLineChars="400"/>
      </w:pPr>
      <w:r>
        <w:rPr>
          <w:rFonts w:hint="eastAsia" w:asciiTheme="minorEastAsia" w:hAnsiTheme="minorEastAsia" w:eastAsiaTheme="minorEastAsia"/>
          <w:sz w:val="28"/>
          <w:szCs w:val="28"/>
        </w:rPr>
        <w:t>一、</w:t>
      </w:r>
      <w:r>
        <w:fldChar w:fldCharType="begin"/>
      </w:r>
      <w:r>
        <w:instrText xml:space="preserve"> HYPERLINK \l "_Toc257704366" </w:instrText>
      </w:r>
      <w:r>
        <w:fldChar w:fldCharType="separate"/>
      </w:r>
      <w:r>
        <w:rPr>
          <w:rStyle w:val="52"/>
          <w:rFonts w:hint="eastAsia" w:cs="楷体_GB2312" w:asciiTheme="minorEastAsia" w:hAnsiTheme="minorEastAsia" w:eastAsiaTheme="minorEastAsia"/>
          <w:color w:val="auto"/>
          <w:sz w:val="28"/>
          <w:szCs w:val="28"/>
        </w:rPr>
        <w:t>总则</w:t>
      </w:r>
      <w:r>
        <w:rPr>
          <w:rStyle w:val="52"/>
          <w:rFonts w:hint="eastAsia" w:cs="楷体_GB2312" w:asciiTheme="minorEastAsia" w:hAnsiTheme="minorEastAsia" w:eastAsiaTheme="minorEastAsia"/>
          <w:color w:val="auto"/>
          <w:sz w:val="28"/>
          <w:szCs w:val="28"/>
        </w:rPr>
        <w:fldChar w:fldCharType="end"/>
      </w:r>
    </w:p>
    <w:p w14:paraId="29594F5B">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二、招标文件</w:t>
      </w:r>
    </w:p>
    <w:p w14:paraId="082BF307">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三、投标报价</w:t>
      </w:r>
    </w:p>
    <w:p w14:paraId="0D6872D8">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四、投标文件编制</w:t>
      </w:r>
    </w:p>
    <w:p w14:paraId="6F4AD466">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五、投标文件密封与递交</w:t>
      </w:r>
    </w:p>
    <w:p w14:paraId="1C5D2EBB">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六、开标</w:t>
      </w:r>
    </w:p>
    <w:p w14:paraId="4BEEFCAE">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七、评标、定标</w:t>
      </w:r>
    </w:p>
    <w:p w14:paraId="1C69789A">
      <w:pPr>
        <w:spacing w:line="360" w:lineRule="auto"/>
        <w:ind w:right="101" w:rightChars="48" w:firstLine="1120" w:firstLineChars="4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八、授予合同</w:t>
      </w:r>
    </w:p>
    <w:p w14:paraId="2D4FC216">
      <w:pPr>
        <w:pStyle w:val="36"/>
        <w:spacing w:line="360" w:lineRule="auto"/>
        <w:ind w:right="101" w:rightChars="48" w:firstLine="600" w:firstLineChars="250"/>
      </w:pPr>
      <w:r>
        <w:fldChar w:fldCharType="begin"/>
      </w:r>
      <w:r>
        <w:instrText xml:space="preserve"> HYPERLINK \l "_Toc257704367" </w:instrText>
      </w:r>
      <w:r>
        <w:fldChar w:fldCharType="separate"/>
      </w:r>
      <w:r>
        <w:rPr>
          <w:rStyle w:val="52"/>
          <w:rFonts w:hint="eastAsia" w:cs="楷体_GB2312" w:asciiTheme="minorEastAsia" w:hAnsiTheme="minorEastAsia" w:eastAsiaTheme="minorEastAsia"/>
          <w:color w:val="auto"/>
          <w:sz w:val="28"/>
          <w:szCs w:val="28"/>
        </w:rPr>
        <w:t>第二章  合同</w:t>
      </w:r>
      <w:r>
        <w:rPr>
          <w:rStyle w:val="52"/>
          <w:rFonts w:hint="eastAsia" w:cs="楷体_GB2312" w:asciiTheme="minorEastAsia" w:hAnsiTheme="minorEastAsia" w:eastAsiaTheme="minorEastAsia"/>
          <w:color w:val="auto"/>
          <w:sz w:val="28"/>
          <w:szCs w:val="28"/>
        </w:rPr>
        <w:fldChar w:fldCharType="end"/>
      </w:r>
    </w:p>
    <w:p w14:paraId="1CC742F8">
      <w:pPr>
        <w:pStyle w:val="36"/>
        <w:spacing w:line="360" w:lineRule="auto"/>
        <w:ind w:right="101" w:rightChars="48" w:firstLine="560" w:firstLineChars="200"/>
        <w:rPr>
          <w:rFonts w:hint="eastAsia" w:cs="Times New Roman" w:asciiTheme="minorEastAsia" w:hAnsiTheme="minorEastAsia" w:eastAsiaTheme="minorEastAsia"/>
          <w:sz w:val="28"/>
          <w:szCs w:val="28"/>
        </w:rPr>
      </w:pPr>
      <w:r>
        <w:rPr>
          <w:rStyle w:val="52"/>
          <w:rFonts w:asciiTheme="minorEastAsia" w:hAnsiTheme="minorEastAsia" w:eastAsiaTheme="minorEastAsia"/>
          <w:color w:val="auto"/>
          <w:sz w:val="28"/>
          <w:szCs w:val="28"/>
        </w:rPr>
        <w:fldChar w:fldCharType="end"/>
      </w:r>
      <w:bookmarkStart w:id="2" w:name="_Toc109525033"/>
      <w:bookmarkStart w:id="3" w:name="_Toc109524867"/>
      <w:r>
        <w:rPr>
          <w:rFonts w:hint="eastAsia" w:asciiTheme="minorEastAsia" w:hAnsiTheme="minorEastAsia" w:eastAsiaTheme="minorEastAsia"/>
          <w:sz w:val="28"/>
          <w:szCs w:val="28"/>
        </w:rPr>
        <w:t>第三章  投标文件格式</w:t>
      </w:r>
    </w:p>
    <w:p w14:paraId="2945E021">
      <w:pPr>
        <w:rPr>
          <w:rFonts w:hint="eastAsia" w:asciiTheme="minorEastAsia" w:hAnsiTheme="minorEastAsia" w:eastAsiaTheme="minorEastAsia"/>
          <w:sz w:val="28"/>
          <w:szCs w:val="28"/>
        </w:rPr>
      </w:pPr>
    </w:p>
    <w:p w14:paraId="1B81C292">
      <w:pPr>
        <w:rPr>
          <w:rFonts w:hint="eastAsia" w:asciiTheme="minorEastAsia" w:hAnsiTheme="minorEastAsia" w:eastAsiaTheme="minorEastAsia"/>
        </w:rPr>
      </w:pPr>
    </w:p>
    <w:p w14:paraId="3FA91099">
      <w:pPr>
        <w:rPr>
          <w:rFonts w:hint="eastAsia" w:asciiTheme="minorEastAsia" w:hAnsiTheme="minorEastAsia" w:eastAsiaTheme="minorEastAsia"/>
        </w:rPr>
      </w:pPr>
    </w:p>
    <w:p w14:paraId="282300DD">
      <w:pPr>
        <w:rPr>
          <w:rFonts w:hint="eastAsia" w:asciiTheme="minorEastAsia" w:hAnsiTheme="minorEastAsia" w:eastAsiaTheme="minorEastAsia"/>
        </w:rPr>
      </w:pPr>
    </w:p>
    <w:p w14:paraId="2DAF876F">
      <w:pPr>
        <w:rPr>
          <w:rFonts w:hint="eastAsia" w:asciiTheme="minorEastAsia" w:hAnsiTheme="minorEastAsia" w:eastAsiaTheme="minorEastAsia"/>
        </w:rPr>
      </w:pPr>
    </w:p>
    <w:p w14:paraId="7586E907">
      <w:pPr>
        <w:rPr>
          <w:rFonts w:hint="eastAsia" w:asciiTheme="minorEastAsia" w:hAnsiTheme="minorEastAsia" w:eastAsiaTheme="minorEastAsia"/>
        </w:rPr>
      </w:pPr>
    </w:p>
    <w:p w14:paraId="160AC1C7">
      <w:pPr>
        <w:rPr>
          <w:rFonts w:hint="eastAsia" w:asciiTheme="minorEastAsia" w:hAnsiTheme="minorEastAsia" w:eastAsiaTheme="minorEastAsia"/>
        </w:rPr>
      </w:pPr>
    </w:p>
    <w:p w14:paraId="09EEE4C4">
      <w:pPr>
        <w:rPr>
          <w:rFonts w:hint="eastAsia" w:asciiTheme="minorEastAsia" w:hAnsiTheme="minorEastAsia" w:eastAsiaTheme="minorEastAsia"/>
        </w:rPr>
      </w:pPr>
    </w:p>
    <w:p w14:paraId="12FD5FF3">
      <w:pPr>
        <w:rPr>
          <w:rFonts w:hint="eastAsia" w:asciiTheme="minorEastAsia" w:hAnsiTheme="minorEastAsia" w:eastAsiaTheme="minorEastAsia"/>
        </w:rPr>
      </w:pPr>
    </w:p>
    <w:p w14:paraId="41555B42">
      <w:pPr>
        <w:rPr>
          <w:rFonts w:hint="eastAsia" w:asciiTheme="minorEastAsia" w:hAnsiTheme="minorEastAsia" w:eastAsiaTheme="minorEastAsia"/>
        </w:rPr>
      </w:pPr>
    </w:p>
    <w:p w14:paraId="607133E0">
      <w:pPr>
        <w:rPr>
          <w:rFonts w:hint="eastAsia" w:asciiTheme="minorEastAsia" w:hAnsiTheme="minorEastAsia" w:eastAsiaTheme="minorEastAsia"/>
        </w:rPr>
      </w:pPr>
    </w:p>
    <w:p w14:paraId="1D0C6A12">
      <w:pPr>
        <w:rPr>
          <w:rFonts w:hint="eastAsia" w:asciiTheme="minorEastAsia" w:hAnsiTheme="minorEastAsia" w:eastAsiaTheme="minorEastAsia"/>
        </w:rPr>
      </w:pPr>
    </w:p>
    <w:p w14:paraId="6743819D">
      <w:pPr>
        <w:rPr>
          <w:rFonts w:hint="eastAsia" w:asciiTheme="minorEastAsia" w:hAnsiTheme="minorEastAsia" w:eastAsiaTheme="minorEastAsia"/>
        </w:rPr>
      </w:pPr>
    </w:p>
    <w:p w14:paraId="348D4FEE">
      <w:pPr>
        <w:rPr>
          <w:rFonts w:hint="eastAsia" w:asciiTheme="minorEastAsia" w:hAnsiTheme="minorEastAsia" w:eastAsiaTheme="minorEastAsia"/>
        </w:rPr>
      </w:pPr>
    </w:p>
    <w:p w14:paraId="3D8E5035">
      <w:pPr>
        <w:rPr>
          <w:rFonts w:hint="eastAsia" w:asciiTheme="minorEastAsia" w:hAnsiTheme="minorEastAsia" w:eastAsiaTheme="minorEastAsia"/>
        </w:rPr>
      </w:pPr>
    </w:p>
    <w:p w14:paraId="131E92F2">
      <w:pPr>
        <w:rPr>
          <w:rFonts w:hint="eastAsia" w:asciiTheme="minorEastAsia" w:hAnsiTheme="minorEastAsia" w:eastAsiaTheme="minorEastAsia"/>
        </w:rPr>
      </w:pPr>
    </w:p>
    <w:p w14:paraId="63C125E0">
      <w:pPr>
        <w:pStyle w:val="3"/>
        <w:spacing w:before="0" w:after="0" w:line="360" w:lineRule="auto"/>
        <w:rPr>
          <w:rFonts w:hint="eastAsia" w:cs="楷体_GB2312" w:asciiTheme="minorEastAsia" w:hAnsiTheme="minorEastAsia" w:eastAsiaTheme="minorEastAsia"/>
          <w:bCs w:val="0"/>
          <w:sz w:val="28"/>
          <w:szCs w:val="28"/>
        </w:rPr>
      </w:pPr>
      <w:bookmarkStart w:id="4" w:name="_Toc257704364"/>
      <w:r>
        <w:rPr>
          <w:rFonts w:hint="eastAsia" w:cs="楷体_GB2312" w:asciiTheme="minorEastAsia" w:hAnsiTheme="minorEastAsia" w:eastAsiaTheme="minorEastAsia"/>
          <w:bCs w:val="0"/>
          <w:sz w:val="28"/>
          <w:szCs w:val="28"/>
        </w:rPr>
        <w:t>第一章 投标须知</w:t>
      </w:r>
      <w:bookmarkEnd w:id="2"/>
      <w:bookmarkEnd w:id="3"/>
      <w:bookmarkEnd w:id="4"/>
      <w:bookmarkStart w:id="5" w:name="_Hlt63586388"/>
      <w:bookmarkEnd w:id="5"/>
      <w:bookmarkStart w:id="6" w:name="_Toc257704365"/>
    </w:p>
    <w:p w14:paraId="76CB6241">
      <w:pPr>
        <w:pStyle w:val="3"/>
        <w:spacing w:before="0" w:after="0" w:line="360" w:lineRule="auto"/>
        <w:rPr>
          <w:rFonts w:hint="eastAsia" w:cs="楷体_GB2312" w:asciiTheme="minorEastAsia" w:hAnsiTheme="minorEastAsia" w:eastAsiaTheme="minorEastAsia"/>
          <w:bCs w:val="0"/>
          <w:sz w:val="28"/>
          <w:szCs w:val="32"/>
        </w:rPr>
      </w:pPr>
      <w:r>
        <w:rPr>
          <w:rFonts w:hint="eastAsia" w:cs="楷体_GB2312" w:asciiTheme="minorEastAsia" w:hAnsiTheme="minorEastAsia" w:eastAsiaTheme="minorEastAsia"/>
          <w:bCs w:val="0"/>
          <w:sz w:val="28"/>
          <w:szCs w:val="32"/>
        </w:rPr>
        <w:t>投标人须知前附表</w:t>
      </w:r>
      <w:bookmarkEnd w:id="6"/>
    </w:p>
    <w:tbl>
      <w:tblPr>
        <w:tblStyle w:val="45"/>
        <w:tblW w:w="107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49"/>
        <w:gridCol w:w="580"/>
        <w:gridCol w:w="1724"/>
        <w:gridCol w:w="1283"/>
        <w:gridCol w:w="993"/>
        <w:gridCol w:w="3392"/>
      </w:tblGrid>
      <w:tr w14:paraId="6B6ED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2" w:hRule="atLeast"/>
          <w:jc w:val="center"/>
        </w:trPr>
        <w:tc>
          <w:tcPr>
            <w:tcW w:w="1809" w:type="dxa"/>
            <w:tcBorders>
              <w:top w:val="single" w:color="auto" w:sz="8" w:space="0"/>
              <w:left w:val="single" w:color="auto" w:sz="8" w:space="0"/>
              <w:bottom w:val="single" w:color="auto" w:sz="4" w:space="0"/>
              <w:right w:val="single" w:color="auto" w:sz="4" w:space="0"/>
            </w:tcBorders>
            <w:vAlign w:val="center"/>
          </w:tcPr>
          <w:p w14:paraId="51DDB97C">
            <w:pPr>
              <w:widowControl/>
              <w:spacing w:line="360" w:lineRule="auto"/>
              <w:jc w:val="center"/>
              <w:rPr>
                <w:rFonts w:hint="eastAsia" w:ascii="宋体" w:hAnsi="宋体"/>
                <w:snapToGrid w:val="0"/>
                <w:kern w:val="0"/>
                <w:sz w:val="24"/>
              </w:rPr>
            </w:pPr>
            <w:r>
              <w:rPr>
                <w:rFonts w:hint="eastAsia" w:ascii="宋体" w:hAnsi="宋体"/>
                <w:snapToGrid w:val="0"/>
                <w:kern w:val="0"/>
                <w:sz w:val="24"/>
              </w:rPr>
              <w:t>招标人</w:t>
            </w:r>
          </w:p>
        </w:tc>
        <w:tc>
          <w:tcPr>
            <w:tcW w:w="8921" w:type="dxa"/>
            <w:gridSpan w:val="6"/>
            <w:tcBorders>
              <w:top w:val="single" w:color="auto" w:sz="8" w:space="0"/>
              <w:left w:val="single" w:color="auto" w:sz="4" w:space="0"/>
              <w:bottom w:val="single" w:color="auto" w:sz="4" w:space="0"/>
              <w:right w:val="single" w:color="auto" w:sz="8" w:space="0"/>
            </w:tcBorders>
            <w:vAlign w:val="center"/>
          </w:tcPr>
          <w:p w14:paraId="6EEE6EAD">
            <w:pPr>
              <w:widowControl/>
              <w:spacing w:line="360" w:lineRule="auto"/>
              <w:jc w:val="left"/>
              <w:rPr>
                <w:rFonts w:hint="eastAsia" w:ascii="宋体" w:hAnsi="宋体"/>
                <w:snapToGrid w:val="0"/>
                <w:kern w:val="0"/>
                <w:sz w:val="24"/>
              </w:rPr>
            </w:pPr>
          </w:p>
        </w:tc>
      </w:tr>
      <w:tr w14:paraId="21A76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0E420451">
            <w:pPr>
              <w:widowControl/>
              <w:spacing w:line="360" w:lineRule="auto"/>
              <w:jc w:val="center"/>
              <w:rPr>
                <w:rFonts w:hint="eastAsia" w:ascii="宋体" w:hAnsi="宋体"/>
                <w:snapToGrid w:val="0"/>
                <w:kern w:val="0"/>
                <w:sz w:val="24"/>
              </w:rPr>
            </w:pPr>
            <w:r>
              <w:rPr>
                <w:rFonts w:hint="eastAsia" w:ascii="宋体" w:hAnsi="宋体"/>
                <w:snapToGrid w:val="0"/>
                <w:kern w:val="0"/>
                <w:sz w:val="24"/>
              </w:rPr>
              <w:t>项目名称</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3C7980C2">
            <w:pPr>
              <w:widowControl/>
              <w:spacing w:line="360" w:lineRule="auto"/>
              <w:jc w:val="left"/>
              <w:rPr>
                <w:rFonts w:hint="eastAsia" w:ascii="宋体" w:hAnsi="宋体"/>
                <w:snapToGrid w:val="0"/>
                <w:kern w:val="0"/>
                <w:sz w:val="24"/>
              </w:rPr>
            </w:pPr>
            <w:r>
              <w:rPr>
                <w:rFonts w:hint="eastAsia"/>
                <w:sz w:val="24"/>
                <w:szCs w:val="24"/>
                <w:lang w:val="en-US" w:eastAsia="zh-CN"/>
              </w:rPr>
              <w:t>天俊悦府</w:t>
            </w:r>
            <w:r>
              <w:rPr>
                <w:rFonts w:hint="eastAsia"/>
                <w:sz w:val="24"/>
                <w:szCs w:val="24"/>
              </w:rPr>
              <w:t>小区监控系统升级改造项目</w:t>
            </w:r>
          </w:p>
        </w:tc>
      </w:tr>
      <w:tr w14:paraId="6B086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26AC77C6">
            <w:pPr>
              <w:widowControl/>
              <w:spacing w:line="360" w:lineRule="auto"/>
              <w:jc w:val="center"/>
              <w:rPr>
                <w:rFonts w:hint="eastAsia" w:ascii="宋体" w:hAnsi="宋体"/>
                <w:snapToGrid w:val="0"/>
                <w:kern w:val="0"/>
                <w:sz w:val="24"/>
              </w:rPr>
            </w:pPr>
            <w:r>
              <w:rPr>
                <w:rFonts w:hint="eastAsia" w:ascii="宋体" w:hAnsi="宋体"/>
                <w:snapToGrid w:val="0"/>
                <w:kern w:val="0"/>
                <w:sz w:val="24"/>
              </w:rPr>
              <w:t>建设地点</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1E9387BD">
            <w:pPr>
              <w:widowControl/>
              <w:spacing w:line="360" w:lineRule="auto"/>
              <w:jc w:val="left"/>
              <w:rPr>
                <w:rFonts w:hint="eastAsia" w:ascii="宋体" w:hAnsi="宋体" w:cs="宋体"/>
                <w:sz w:val="24"/>
              </w:rPr>
            </w:pPr>
          </w:p>
        </w:tc>
      </w:tr>
      <w:tr w14:paraId="65C5F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70621C75">
            <w:pPr>
              <w:widowControl/>
              <w:spacing w:line="360" w:lineRule="auto"/>
              <w:jc w:val="center"/>
              <w:rPr>
                <w:rFonts w:hint="eastAsia" w:ascii="宋体" w:hAnsi="宋体"/>
                <w:snapToGrid w:val="0"/>
                <w:kern w:val="0"/>
                <w:sz w:val="24"/>
              </w:rPr>
            </w:pPr>
            <w:r>
              <w:rPr>
                <w:rFonts w:hint="eastAsia" w:ascii="宋体" w:hAnsi="宋体"/>
                <w:snapToGrid w:val="0"/>
                <w:kern w:val="0"/>
                <w:sz w:val="24"/>
              </w:rPr>
              <w:t>招标范围</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64017B07">
            <w:pPr>
              <w:widowControl/>
              <w:shd w:val="clear" w:color="auto" w:fill="FFFFFF"/>
              <w:spacing w:line="360" w:lineRule="auto"/>
              <w:jc w:val="left"/>
              <w:rPr>
                <w:rFonts w:hint="eastAsia" w:ascii="宋体" w:hAnsi="宋体" w:cs="宋体"/>
                <w:kern w:val="0"/>
                <w:sz w:val="24"/>
                <w:szCs w:val="24"/>
              </w:rPr>
            </w:pPr>
            <w:r>
              <w:rPr>
                <w:rFonts w:hint="eastAsia" w:ascii="宋体" w:hAnsi="宋体" w:cs="宋体"/>
                <w:kern w:val="0"/>
                <w:sz w:val="24"/>
                <w:szCs w:val="24"/>
              </w:rPr>
              <w:t>图纸（如有）及工程量清单范围内鸿益千秋小区监控系统升级改造项目全部内容。</w:t>
            </w:r>
          </w:p>
        </w:tc>
      </w:tr>
      <w:tr w14:paraId="13F16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7CA4179A">
            <w:pPr>
              <w:widowControl/>
              <w:shd w:val="clear" w:color="auto" w:fill="FFFFFF"/>
              <w:spacing w:line="360" w:lineRule="auto"/>
              <w:jc w:val="center"/>
              <w:rPr>
                <w:rFonts w:hint="eastAsia" w:ascii="宋体" w:hAnsi="宋体" w:cs="宋体"/>
                <w:kern w:val="0"/>
                <w:sz w:val="24"/>
                <w:szCs w:val="24"/>
              </w:rPr>
            </w:pPr>
            <w:r>
              <w:rPr>
                <w:rFonts w:hint="eastAsia" w:ascii="宋体" w:hAnsi="宋体" w:cs="宋体"/>
                <w:kern w:val="0"/>
                <w:sz w:val="24"/>
                <w:szCs w:val="24"/>
              </w:rPr>
              <w:t>招标控制价</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5E2EEB78">
            <w:pPr>
              <w:widowControl/>
              <w:shd w:val="clear" w:color="auto" w:fill="FFFFFF"/>
              <w:spacing w:line="360" w:lineRule="auto"/>
              <w:jc w:val="left"/>
              <w:rPr>
                <w:rFonts w:hint="eastAsia" w:ascii="宋体" w:hAnsi="宋体" w:cs="宋体"/>
                <w:kern w:val="0"/>
                <w:sz w:val="24"/>
                <w:szCs w:val="24"/>
              </w:rPr>
            </w:pPr>
            <w:r>
              <w:rPr>
                <w:rFonts w:hint="eastAsia" w:ascii="宋体" w:hAnsi="宋体" w:cs="宋体"/>
                <w:kern w:val="0"/>
                <w:sz w:val="24"/>
                <w:szCs w:val="24"/>
              </w:rPr>
              <w:t>招标控制价</w:t>
            </w:r>
            <w:r>
              <w:rPr>
                <w:rFonts w:hint="eastAsia" w:ascii="宋体" w:hAnsi="宋体" w:cs="宋体"/>
                <w:kern w:val="0"/>
                <w:sz w:val="24"/>
                <w:szCs w:val="24"/>
                <w:highlight w:val="yellow"/>
                <w:lang w:val="en-US" w:eastAsia="zh-CN"/>
              </w:rPr>
              <w:t>300000</w:t>
            </w:r>
            <w:r>
              <w:rPr>
                <w:rFonts w:hint="eastAsia" w:ascii="宋体" w:hAnsi="宋体" w:cs="宋体"/>
                <w:kern w:val="0"/>
                <w:sz w:val="24"/>
                <w:szCs w:val="24"/>
                <w:highlight w:val="yellow"/>
              </w:rPr>
              <w:t>元</w:t>
            </w:r>
            <w:r>
              <w:rPr>
                <w:rFonts w:hint="eastAsia" w:ascii="宋体" w:hAnsi="宋体" w:cs="宋体"/>
                <w:kern w:val="0"/>
                <w:sz w:val="24"/>
                <w:szCs w:val="24"/>
              </w:rPr>
              <w:t>，高于最高限价的为无效标</w:t>
            </w:r>
          </w:p>
        </w:tc>
      </w:tr>
      <w:tr w14:paraId="5E3E1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27E1D792">
            <w:pPr>
              <w:widowControl/>
              <w:spacing w:line="360" w:lineRule="auto"/>
              <w:jc w:val="center"/>
              <w:rPr>
                <w:rFonts w:hint="eastAsia" w:ascii="宋体" w:hAnsi="宋体"/>
                <w:snapToGrid w:val="0"/>
                <w:kern w:val="0"/>
                <w:sz w:val="24"/>
              </w:rPr>
            </w:pPr>
            <w:r>
              <w:rPr>
                <w:rFonts w:hint="eastAsia" w:ascii="宋体" w:hAnsi="宋体"/>
                <w:snapToGrid w:val="0"/>
                <w:kern w:val="0"/>
                <w:sz w:val="24"/>
              </w:rPr>
              <w:t>计划工期</w:t>
            </w:r>
          </w:p>
        </w:tc>
        <w:tc>
          <w:tcPr>
            <w:tcW w:w="3253" w:type="dxa"/>
            <w:gridSpan w:val="3"/>
            <w:tcBorders>
              <w:top w:val="single" w:color="auto" w:sz="4" w:space="0"/>
              <w:left w:val="single" w:color="auto" w:sz="4" w:space="0"/>
              <w:bottom w:val="single" w:color="auto" w:sz="4" w:space="0"/>
              <w:right w:val="single" w:color="auto" w:sz="4" w:space="0"/>
            </w:tcBorders>
            <w:vAlign w:val="center"/>
          </w:tcPr>
          <w:p w14:paraId="602C7DB2">
            <w:pPr>
              <w:widowControl/>
              <w:snapToGrid w:val="0"/>
              <w:jc w:val="left"/>
              <w:rPr>
                <w:sz w:val="24"/>
                <w:szCs w:val="24"/>
              </w:rPr>
            </w:pPr>
            <w:r>
              <w:rPr>
                <w:rFonts w:hint="eastAsia" w:ascii="宋体" w:hAnsi="宋体" w:cs="宋体"/>
                <w:kern w:val="0"/>
                <w:sz w:val="24"/>
                <w:szCs w:val="24"/>
                <w:highlight w:val="yellow"/>
                <w:lang w:val="en-US" w:eastAsia="zh-CN"/>
              </w:rPr>
              <w:t>3</w:t>
            </w:r>
            <w:r>
              <w:rPr>
                <w:rFonts w:hint="eastAsia" w:ascii="宋体" w:hAnsi="宋体" w:cs="宋体"/>
                <w:kern w:val="0"/>
                <w:sz w:val="24"/>
                <w:szCs w:val="24"/>
                <w:highlight w:val="yellow"/>
              </w:rPr>
              <w:t>0日历天</w:t>
            </w:r>
            <w:r>
              <w:rPr>
                <w:rFonts w:hint="eastAsia"/>
                <w:sz w:val="24"/>
                <w:szCs w:val="24"/>
              </w:rPr>
              <w:t>，</w:t>
            </w:r>
            <w:r>
              <w:rPr>
                <w:rFonts w:hint="eastAsia" w:ascii="宋体" w:hAnsi="宋体"/>
                <w:sz w:val="24"/>
                <w:szCs w:val="24"/>
              </w:rPr>
              <w:t>具体开工时间以甲方通知为准</w:t>
            </w: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29D55C48">
            <w:pPr>
              <w:widowControl/>
              <w:spacing w:line="360" w:lineRule="auto"/>
              <w:jc w:val="center"/>
              <w:rPr>
                <w:rFonts w:hint="eastAsia" w:ascii="宋体" w:hAnsi="宋体"/>
                <w:snapToGrid w:val="0"/>
                <w:kern w:val="0"/>
                <w:sz w:val="24"/>
              </w:rPr>
            </w:pPr>
            <w:r>
              <w:rPr>
                <w:rFonts w:hint="eastAsia" w:ascii="宋体" w:hAnsi="宋体"/>
                <w:snapToGrid w:val="0"/>
                <w:kern w:val="0"/>
                <w:sz w:val="24"/>
              </w:rPr>
              <w:t>质量要求</w:t>
            </w:r>
          </w:p>
        </w:tc>
        <w:tc>
          <w:tcPr>
            <w:tcW w:w="3392" w:type="dxa"/>
            <w:tcBorders>
              <w:top w:val="single" w:color="auto" w:sz="4" w:space="0"/>
              <w:left w:val="single" w:color="auto" w:sz="4" w:space="0"/>
              <w:bottom w:val="single" w:color="auto" w:sz="4" w:space="0"/>
              <w:right w:val="single" w:color="auto" w:sz="8" w:space="0"/>
            </w:tcBorders>
            <w:vAlign w:val="center"/>
          </w:tcPr>
          <w:p w14:paraId="7B8D1BD3">
            <w:pPr>
              <w:widowControl/>
              <w:spacing w:line="360" w:lineRule="auto"/>
              <w:jc w:val="left"/>
              <w:rPr>
                <w:rFonts w:hint="eastAsia" w:ascii="宋体" w:hAnsi="宋体"/>
                <w:snapToGrid w:val="0"/>
                <w:kern w:val="0"/>
                <w:sz w:val="24"/>
              </w:rPr>
            </w:pPr>
            <w:r>
              <w:rPr>
                <w:rFonts w:hint="eastAsia" w:ascii="宋体" w:hAnsi="宋体"/>
                <w:snapToGrid w:val="0"/>
                <w:kern w:val="0"/>
                <w:sz w:val="24"/>
              </w:rPr>
              <w:t>合格</w:t>
            </w:r>
          </w:p>
        </w:tc>
      </w:tr>
      <w:tr w14:paraId="7F257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52E41073">
            <w:pPr>
              <w:widowControl/>
              <w:spacing w:line="360" w:lineRule="auto"/>
              <w:jc w:val="center"/>
              <w:rPr>
                <w:rFonts w:hint="eastAsia" w:ascii="宋体" w:hAnsi="宋体"/>
                <w:snapToGrid w:val="0"/>
                <w:kern w:val="0"/>
                <w:sz w:val="24"/>
              </w:rPr>
            </w:pPr>
            <w:r>
              <w:rPr>
                <w:rFonts w:hint="eastAsia" w:ascii="宋体" w:hAnsi="宋体"/>
                <w:snapToGrid w:val="0"/>
                <w:kern w:val="0"/>
                <w:sz w:val="24"/>
              </w:rPr>
              <w:t>招标方式</w:t>
            </w:r>
          </w:p>
        </w:tc>
        <w:tc>
          <w:tcPr>
            <w:tcW w:w="3253" w:type="dxa"/>
            <w:gridSpan w:val="3"/>
            <w:tcBorders>
              <w:top w:val="single" w:color="auto" w:sz="4" w:space="0"/>
              <w:left w:val="single" w:color="auto" w:sz="4" w:space="0"/>
              <w:bottom w:val="single" w:color="auto" w:sz="4" w:space="0"/>
              <w:right w:val="single" w:color="auto" w:sz="4" w:space="0"/>
            </w:tcBorders>
            <w:vAlign w:val="center"/>
          </w:tcPr>
          <w:p w14:paraId="552A2DF7">
            <w:pPr>
              <w:widowControl/>
              <w:spacing w:line="360" w:lineRule="auto"/>
              <w:jc w:val="left"/>
              <w:rPr>
                <w:rFonts w:hint="eastAsia" w:ascii="宋体" w:hAnsi="宋体"/>
                <w:snapToGrid w:val="0"/>
                <w:kern w:val="0"/>
                <w:sz w:val="24"/>
              </w:rPr>
            </w:pPr>
            <w:r>
              <w:rPr>
                <w:rFonts w:hint="eastAsia" w:ascii="宋体" w:hAnsi="宋体"/>
                <w:snapToGrid w:val="0"/>
                <w:kern w:val="0"/>
                <w:sz w:val="24"/>
              </w:rPr>
              <w:t>邀请招标</w:t>
            </w: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6CC62360">
            <w:pPr>
              <w:widowControl/>
              <w:spacing w:line="360" w:lineRule="auto"/>
              <w:jc w:val="center"/>
              <w:rPr>
                <w:rFonts w:hint="eastAsia" w:ascii="宋体" w:hAnsi="宋体"/>
                <w:b/>
                <w:kern w:val="0"/>
                <w:sz w:val="24"/>
              </w:rPr>
            </w:pPr>
            <w:r>
              <w:rPr>
                <w:rFonts w:hint="eastAsia" w:ascii="宋体" w:hAnsi="宋体"/>
                <w:snapToGrid w:val="0"/>
                <w:kern w:val="0"/>
                <w:sz w:val="24"/>
              </w:rPr>
              <w:t>承包方式</w:t>
            </w:r>
          </w:p>
        </w:tc>
        <w:tc>
          <w:tcPr>
            <w:tcW w:w="3392" w:type="dxa"/>
            <w:tcBorders>
              <w:top w:val="single" w:color="auto" w:sz="4" w:space="0"/>
              <w:left w:val="single" w:color="auto" w:sz="4" w:space="0"/>
              <w:bottom w:val="single" w:color="auto" w:sz="4" w:space="0"/>
              <w:right w:val="single" w:color="auto" w:sz="8" w:space="0"/>
            </w:tcBorders>
            <w:vAlign w:val="center"/>
          </w:tcPr>
          <w:p w14:paraId="470169A0">
            <w:pPr>
              <w:widowControl/>
              <w:spacing w:line="360" w:lineRule="auto"/>
              <w:jc w:val="left"/>
              <w:rPr>
                <w:rFonts w:hint="eastAsia" w:ascii="宋体" w:hAnsi="宋体"/>
                <w:b/>
                <w:kern w:val="0"/>
                <w:sz w:val="24"/>
              </w:rPr>
            </w:pPr>
            <w:r>
              <w:rPr>
                <w:rFonts w:hint="eastAsia" w:ascii="宋体" w:hAnsi="宋体"/>
                <w:snapToGrid w:val="0"/>
                <w:kern w:val="0"/>
                <w:sz w:val="24"/>
              </w:rPr>
              <w:t>包工包料</w:t>
            </w:r>
          </w:p>
        </w:tc>
      </w:tr>
      <w:tr w14:paraId="7348F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1542C225">
            <w:pPr>
              <w:autoSpaceDE w:val="0"/>
              <w:autoSpaceDN w:val="0"/>
              <w:spacing w:line="360" w:lineRule="auto"/>
              <w:jc w:val="center"/>
              <w:rPr>
                <w:rFonts w:hint="eastAsia" w:ascii="宋体" w:hAnsi="宋体"/>
                <w:snapToGrid w:val="0"/>
                <w:kern w:val="0"/>
                <w:sz w:val="24"/>
              </w:rPr>
            </w:pPr>
            <w:r>
              <w:rPr>
                <w:rFonts w:hint="eastAsia" w:ascii="宋体" w:hAnsi="宋体"/>
                <w:snapToGrid w:val="0"/>
                <w:kern w:val="0"/>
                <w:sz w:val="24"/>
              </w:rPr>
              <w:t>投标人资质条件、能力和信誉</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01837251">
            <w:pPr>
              <w:snapToGrid w:val="0"/>
              <w:spacing w:line="300" w:lineRule="auto"/>
              <w:rPr>
                <w:rFonts w:hint="eastAsia" w:ascii="宋体" w:hAnsi="宋体" w:cs="Calibri"/>
                <w:sz w:val="24"/>
                <w:szCs w:val="24"/>
              </w:rPr>
            </w:pPr>
            <w:r>
              <w:rPr>
                <w:rFonts w:hint="eastAsia" w:ascii="宋体" w:hAnsi="宋体" w:cs="Calibri"/>
                <w:sz w:val="24"/>
                <w:szCs w:val="24"/>
              </w:rPr>
              <w:t>1、具备承担本工程的资金、技术能力；</w:t>
            </w:r>
          </w:p>
          <w:p w14:paraId="548B3D4C">
            <w:pPr>
              <w:snapToGrid w:val="0"/>
              <w:spacing w:line="300" w:lineRule="auto"/>
              <w:rPr>
                <w:rFonts w:hint="eastAsia" w:ascii="宋体" w:hAnsi="宋体" w:cs="Calibri"/>
                <w:sz w:val="24"/>
                <w:szCs w:val="24"/>
              </w:rPr>
            </w:pPr>
            <w:r>
              <w:rPr>
                <w:rFonts w:hint="eastAsia" w:ascii="宋体" w:hAnsi="宋体" w:cs="Calibri"/>
                <w:sz w:val="24"/>
                <w:szCs w:val="24"/>
              </w:rPr>
              <w:t>2、未处于被责令停业、投标资格被取消或者财产被接管、冻结和破产状态；</w:t>
            </w:r>
          </w:p>
          <w:p w14:paraId="2A332C98">
            <w:pPr>
              <w:snapToGrid w:val="0"/>
              <w:spacing w:line="300" w:lineRule="auto"/>
              <w:rPr>
                <w:rFonts w:hint="eastAsia" w:ascii="宋体" w:hAnsi="宋体" w:cs="Calibri"/>
                <w:sz w:val="24"/>
                <w:szCs w:val="24"/>
              </w:rPr>
            </w:pPr>
            <w:r>
              <w:rPr>
                <w:rFonts w:hint="eastAsia" w:ascii="宋体" w:hAnsi="宋体" w:cs="Calibri"/>
                <w:sz w:val="24"/>
                <w:szCs w:val="24"/>
              </w:rPr>
              <w:t>3、企业没有因骗取中标或者严重违约以及发生重大工程质量问题，被有关部门暂停投标资格并在暂停期内的；</w:t>
            </w:r>
          </w:p>
          <w:p w14:paraId="6E8AD181">
            <w:pPr>
              <w:snapToGrid w:val="0"/>
              <w:spacing w:line="300" w:lineRule="auto"/>
              <w:rPr>
                <w:rFonts w:hint="eastAsia" w:ascii="宋体" w:hAnsi="宋体" w:cs="Calibri"/>
                <w:sz w:val="24"/>
                <w:szCs w:val="24"/>
              </w:rPr>
            </w:pPr>
            <w:r>
              <w:rPr>
                <w:rFonts w:hint="eastAsia" w:ascii="宋体" w:hAnsi="宋体" w:cs="Calibri"/>
                <w:sz w:val="24"/>
                <w:szCs w:val="24"/>
              </w:rPr>
              <w:t>4、本项目不接受联合体投标；</w:t>
            </w:r>
          </w:p>
          <w:p w14:paraId="0E199A67">
            <w:pPr>
              <w:widowControl/>
              <w:snapToGrid w:val="0"/>
              <w:jc w:val="left"/>
              <w:rPr>
                <w:sz w:val="24"/>
                <w:szCs w:val="24"/>
              </w:rPr>
            </w:pPr>
            <w:r>
              <w:rPr>
                <w:rFonts w:hint="eastAsia" w:ascii="宋体" w:hAnsi="宋体" w:cs="Calibri"/>
                <w:sz w:val="24"/>
                <w:szCs w:val="24"/>
              </w:rPr>
              <w:t>5、符合法律法规规定的其他情形。</w:t>
            </w:r>
          </w:p>
        </w:tc>
      </w:tr>
      <w:tr w14:paraId="45CAB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0DE6C060">
            <w:pPr>
              <w:widowControl/>
              <w:spacing w:line="360" w:lineRule="auto"/>
              <w:jc w:val="center"/>
              <w:rPr>
                <w:rFonts w:hint="eastAsia" w:ascii="宋体" w:hAnsi="宋体"/>
                <w:snapToGrid w:val="0"/>
                <w:kern w:val="0"/>
                <w:sz w:val="24"/>
              </w:rPr>
            </w:pPr>
            <w:r>
              <w:rPr>
                <w:rFonts w:hint="eastAsia" w:ascii="宋体" w:hAnsi="宋体"/>
                <w:snapToGrid w:val="0"/>
                <w:kern w:val="0"/>
                <w:sz w:val="24"/>
              </w:rPr>
              <w:t>是否接受</w:t>
            </w:r>
          </w:p>
          <w:p w14:paraId="72CF0341">
            <w:pPr>
              <w:widowControl/>
              <w:spacing w:line="360" w:lineRule="auto"/>
              <w:jc w:val="center"/>
              <w:rPr>
                <w:rFonts w:hint="eastAsia" w:ascii="宋体" w:hAnsi="宋体"/>
                <w:snapToGrid w:val="0"/>
                <w:kern w:val="0"/>
                <w:sz w:val="24"/>
              </w:rPr>
            </w:pPr>
            <w:r>
              <w:rPr>
                <w:rFonts w:hint="eastAsia" w:ascii="宋体" w:hAnsi="宋体"/>
                <w:snapToGrid w:val="0"/>
                <w:kern w:val="0"/>
                <w:sz w:val="24"/>
              </w:rPr>
              <w:t>联合体投标</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4C6BBEFD">
            <w:pPr>
              <w:autoSpaceDE w:val="0"/>
              <w:autoSpaceDN w:val="0"/>
              <w:spacing w:line="360" w:lineRule="auto"/>
              <w:jc w:val="left"/>
              <w:rPr>
                <w:rFonts w:hint="eastAsia" w:ascii="宋体" w:hAnsi="宋体" w:cs="宋体"/>
                <w:kern w:val="0"/>
                <w:sz w:val="24"/>
              </w:rPr>
            </w:pPr>
            <w:r>
              <w:rPr>
                <w:rFonts w:hint="eastAsia" w:ascii="宋体" w:hAnsi="宋体" w:cs="TimesNewRomanPSMT"/>
                <w:kern w:val="0"/>
                <w:sz w:val="24"/>
              </w:rPr>
              <w:t>■</w:t>
            </w:r>
            <w:r>
              <w:rPr>
                <w:rFonts w:hint="eastAsia" w:ascii="宋体" w:hAnsi="宋体"/>
                <w:snapToGrid w:val="0"/>
                <w:kern w:val="0"/>
                <w:sz w:val="24"/>
              </w:rPr>
              <w:t>不接受</w:t>
            </w:r>
            <w:r>
              <w:rPr>
                <w:rFonts w:hint="eastAsia" w:ascii="宋体" w:hAnsi="宋体" w:cs="宋体"/>
                <w:kern w:val="0"/>
                <w:sz w:val="24"/>
              </w:rPr>
              <w:t xml:space="preserve">    </w:t>
            </w:r>
            <w:r>
              <w:rPr>
                <w:rFonts w:hint="eastAsia" w:ascii="宋体" w:hAnsi="宋体" w:cs="TimesNewRomanPSMT"/>
                <w:kern w:val="0"/>
                <w:sz w:val="24"/>
              </w:rPr>
              <w:t>□</w:t>
            </w:r>
            <w:r>
              <w:rPr>
                <w:rFonts w:hint="eastAsia" w:ascii="宋体" w:hAnsi="宋体"/>
                <w:snapToGrid w:val="0"/>
                <w:kern w:val="0"/>
                <w:sz w:val="24"/>
              </w:rPr>
              <w:t>接受，应满足下列要求：/</w:t>
            </w:r>
          </w:p>
        </w:tc>
      </w:tr>
      <w:tr w14:paraId="6FFB6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5379BC47">
            <w:pPr>
              <w:widowControl/>
              <w:spacing w:line="360" w:lineRule="auto"/>
              <w:jc w:val="center"/>
              <w:rPr>
                <w:rFonts w:hint="eastAsia" w:ascii="宋体" w:hAnsi="宋体"/>
                <w:snapToGrid w:val="0"/>
                <w:kern w:val="0"/>
                <w:sz w:val="24"/>
              </w:rPr>
            </w:pPr>
            <w:r>
              <w:rPr>
                <w:rFonts w:hint="eastAsia" w:ascii="宋体" w:hAnsi="宋体"/>
                <w:snapToGrid w:val="0"/>
                <w:kern w:val="0"/>
                <w:sz w:val="24"/>
              </w:rPr>
              <w:t>招标文件售价</w:t>
            </w:r>
          </w:p>
        </w:tc>
        <w:tc>
          <w:tcPr>
            <w:tcW w:w="3253" w:type="dxa"/>
            <w:gridSpan w:val="3"/>
            <w:tcBorders>
              <w:top w:val="single" w:color="auto" w:sz="4" w:space="0"/>
              <w:left w:val="single" w:color="auto" w:sz="4" w:space="0"/>
              <w:bottom w:val="single" w:color="auto" w:sz="4" w:space="0"/>
              <w:right w:val="single" w:color="auto" w:sz="4" w:space="0"/>
            </w:tcBorders>
            <w:vAlign w:val="center"/>
          </w:tcPr>
          <w:p w14:paraId="4452F6A8">
            <w:pPr>
              <w:widowControl/>
              <w:spacing w:line="360" w:lineRule="auto"/>
              <w:jc w:val="left"/>
              <w:rPr>
                <w:rFonts w:hint="eastAsia" w:ascii="宋体" w:hAnsi="宋体"/>
                <w:snapToGrid w:val="0"/>
                <w:kern w:val="0"/>
                <w:sz w:val="24"/>
              </w:rPr>
            </w:pPr>
            <w:r>
              <w:rPr>
                <w:rFonts w:hint="eastAsia" w:ascii="宋体" w:hAnsi="宋体"/>
                <w:snapToGrid w:val="0"/>
                <w:kern w:val="0"/>
                <w:sz w:val="24"/>
                <w:lang w:val="en-US" w:eastAsia="zh-CN"/>
              </w:rPr>
              <w:t>0</w:t>
            </w:r>
            <w:r>
              <w:rPr>
                <w:rFonts w:hint="eastAsia" w:ascii="宋体" w:hAnsi="宋体"/>
                <w:snapToGrid w:val="0"/>
                <w:kern w:val="0"/>
                <w:sz w:val="24"/>
              </w:rPr>
              <w:t>元/份</w:t>
            </w: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0355700F">
            <w:pPr>
              <w:widowControl/>
              <w:spacing w:line="360" w:lineRule="auto"/>
              <w:jc w:val="center"/>
              <w:rPr>
                <w:rFonts w:hint="eastAsia" w:ascii="宋体" w:hAnsi="宋体"/>
                <w:snapToGrid w:val="0"/>
                <w:kern w:val="0"/>
                <w:sz w:val="24"/>
              </w:rPr>
            </w:pPr>
            <w:r>
              <w:rPr>
                <w:rFonts w:hint="eastAsia" w:ascii="宋体" w:hAnsi="宋体"/>
                <w:snapToGrid w:val="0"/>
                <w:kern w:val="0"/>
                <w:sz w:val="24"/>
              </w:rPr>
              <w:t>图纸押金</w:t>
            </w:r>
          </w:p>
        </w:tc>
        <w:tc>
          <w:tcPr>
            <w:tcW w:w="3392" w:type="dxa"/>
            <w:tcBorders>
              <w:top w:val="single" w:color="auto" w:sz="4" w:space="0"/>
              <w:left w:val="single" w:color="auto" w:sz="4" w:space="0"/>
              <w:bottom w:val="single" w:color="auto" w:sz="4" w:space="0"/>
              <w:right w:val="single" w:color="auto" w:sz="8" w:space="0"/>
            </w:tcBorders>
            <w:vAlign w:val="center"/>
          </w:tcPr>
          <w:p w14:paraId="675DBEED">
            <w:pPr>
              <w:widowControl/>
              <w:spacing w:line="360" w:lineRule="auto"/>
              <w:ind w:firstLine="360" w:firstLineChars="150"/>
              <w:rPr>
                <w:rFonts w:hint="eastAsia" w:ascii="宋体" w:hAnsi="宋体"/>
                <w:snapToGrid w:val="0"/>
                <w:kern w:val="0"/>
                <w:sz w:val="24"/>
              </w:rPr>
            </w:pPr>
            <w:r>
              <w:rPr>
                <w:rFonts w:hint="eastAsia" w:ascii="宋体" w:hAnsi="宋体"/>
                <w:snapToGrid w:val="0"/>
                <w:kern w:val="0"/>
                <w:sz w:val="24"/>
              </w:rPr>
              <w:t>0  元</w:t>
            </w:r>
          </w:p>
          <w:p w14:paraId="62F6017D">
            <w:pPr>
              <w:widowControl/>
              <w:spacing w:line="360" w:lineRule="auto"/>
              <w:rPr>
                <w:rFonts w:hint="eastAsia" w:ascii="宋体" w:hAnsi="宋体"/>
                <w:snapToGrid w:val="0"/>
                <w:kern w:val="0"/>
                <w:sz w:val="24"/>
              </w:rPr>
            </w:pPr>
            <w:r>
              <w:rPr>
                <w:rFonts w:hint="eastAsia" w:ascii="宋体" w:hAnsi="宋体" w:cs="TimesNewRomanPSMT"/>
                <w:kern w:val="0"/>
                <w:sz w:val="24"/>
              </w:rPr>
              <w:t>■</w:t>
            </w:r>
            <w:r>
              <w:rPr>
                <w:rFonts w:hint="eastAsia" w:ascii="宋体" w:hAnsi="宋体"/>
                <w:snapToGrid w:val="0"/>
                <w:kern w:val="0"/>
                <w:sz w:val="24"/>
              </w:rPr>
              <w:t>退还不计息</w:t>
            </w:r>
            <w:r>
              <w:rPr>
                <w:rFonts w:hint="eastAsia" w:ascii="宋体" w:hAnsi="宋体" w:cs="TimesNewRomanPSMT"/>
                <w:kern w:val="0"/>
                <w:sz w:val="24"/>
              </w:rPr>
              <w:t>□</w:t>
            </w:r>
            <w:r>
              <w:rPr>
                <w:rFonts w:hint="eastAsia" w:ascii="宋体" w:hAnsi="宋体"/>
                <w:snapToGrid w:val="0"/>
                <w:kern w:val="0"/>
                <w:sz w:val="24"/>
              </w:rPr>
              <w:t>不退还</w:t>
            </w:r>
          </w:p>
        </w:tc>
      </w:tr>
      <w:tr w14:paraId="595DD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1EFE8FE7">
            <w:pPr>
              <w:widowControl/>
              <w:spacing w:line="360" w:lineRule="auto"/>
              <w:jc w:val="center"/>
              <w:rPr>
                <w:rFonts w:hint="eastAsia" w:ascii="宋体" w:hAnsi="宋体"/>
                <w:snapToGrid w:val="0"/>
                <w:kern w:val="0"/>
                <w:sz w:val="24"/>
              </w:rPr>
            </w:pPr>
            <w:r>
              <w:rPr>
                <w:rFonts w:hint="eastAsia" w:ascii="宋体" w:hAnsi="宋体"/>
                <w:snapToGrid w:val="0"/>
                <w:kern w:val="0"/>
                <w:sz w:val="24"/>
              </w:rPr>
              <w:t>投标文件份数</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65F52D65">
            <w:pPr>
              <w:widowControl/>
              <w:spacing w:line="360" w:lineRule="auto"/>
              <w:jc w:val="left"/>
              <w:rPr>
                <w:rFonts w:hint="eastAsia" w:ascii="宋体" w:hAnsi="宋体"/>
                <w:snapToGrid w:val="0"/>
                <w:kern w:val="0"/>
                <w:sz w:val="24"/>
              </w:rPr>
            </w:pPr>
            <w:r>
              <w:rPr>
                <w:rFonts w:hint="eastAsia" w:ascii="宋体" w:hAnsi="宋体"/>
                <w:snapToGrid w:val="0"/>
                <w:kern w:val="0"/>
                <w:sz w:val="24"/>
              </w:rPr>
              <w:t>投标文件要求正本1份，副本1份</w:t>
            </w:r>
          </w:p>
        </w:tc>
      </w:tr>
      <w:tr w14:paraId="76FC8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4F936AFF">
            <w:pPr>
              <w:widowControl/>
              <w:spacing w:line="360" w:lineRule="auto"/>
              <w:jc w:val="center"/>
              <w:rPr>
                <w:rFonts w:hint="eastAsia" w:ascii="宋体" w:hAnsi="宋体"/>
                <w:snapToGrid w:val="0"/>
                <w:kern w:val="0"/>
                <w:sz w:val="24"/>
              </w:rPr>
            </w:pPr>
            <w:r>
              <w:rPr>
                <w:rFonts w:hint="eastAsia" w:ascii="宋体" w:hAnsi="宋体"/>
                <w:snapToGrid w:val="0"/>
                <w:kern w:val="0"/>
                <w:sz w:val="24"/>
              </w:rPr>
              <w:t>现场查勘</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3AB3E954">
            <w:pPr>
              <w:widowControl/>
              <w:spacing w:line="360" w:lineRule="auto"/>
              <w:jc w:val="left"/>
              <w:rPr>
                <w:rFonts w:hint="eastAsia" w:ascii="宋体" w:hAnsi="宋体"/>
                <w:b/>
                <w:snapToGrid w:val="0"/>
                <w:kern w:val="0"/>
                <w:sz w:val="24"/>
              </w:rPr>
            </w:pPr>
            <w:r>
              <w:rPr>
                <w:rFonts w:hint="eastAsia" w:ascii="宋体" w:hAnsi="宋体"/>
                <w:b/>
                <w:snapToGrid w:val="0"/>
                <w:kern w:val="0"/>
                <w:sz w:val="24"/>
              </w:rPr>
              <w:t>投标人必须自行查勘现场,费用由投标人承担</w:t>
            </w:r>
          </w:p>
        </w:tc>
      </w:tr>
      <w:tr w14:paraId="6720E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31C41C00">
            <w:pPr>
              <w:widowControl/>
              <w:spacing w:line="360" w:lineRule="auto"/>
              <w:jc w:val="center"/>
              <w:rPr>
                <w:rFonts w:hint="eastAsia" w:ascii="宋体" w:hAnsi="宋体"/>
                <w:snapToGrid w:val="0"/>
                <w:kern w:val="0"/>
                <w:sz w:val="24"/>
              </w:rPr>
            </w:pPr>
            <w:r>
              <w:rPr>
                <w:rFonts w:hint="eastAsia" w:ascii="宋体" w:hAnsi="宋体"/>
                <w:snapToGrid w:val="0"/>
                <w:kern w:val="0"/>
                <w:sz w:val="24"/>
              </w:rPr>
              <w:t>澄清及答疑</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573C67A0">
            <w:pPr>
              <w:rPr>
                <w:rFonts w:hint="eastAsia" w:cs="楷体_GB2312" w:asciiTheme="minorEastAsia" w:hAnsiTheme="minorEastAsia" w:eastAsiaTheme="minorEastAsia"/>
                <w:snapToGrid w:val="0"/>
                <w:sz w:val="24"/>
                <w:szCs w:val="24"/>
              </w:rPr>
            </w:pPr>
            <w:r>
              <w:rPr>
                <w:rFonts w:hint="eastAsia" w:ascii="宋体" w:hAnsi="宋体"/>
                <w:sz w:val="24"/>
              </w:rPr>
              <w:t>投标人如有疑问请于202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5</w:t>
            </w:r>
            <w:r>
              <w:rPr>
                <w:rFonts w:hint="eastAsia" w:ascii="宋体" w:hAnsi="宋体"/>
                <w:sz w:val="24"/>
              </w:rPr>
              <w:t>月2</w:t>
            </w:r>
            <w:r>
              <w:rPr>
                <w:rFonts w:hint="eastAsia" w:ascii="宋体" w:hAnsi="宋体"/>
                <w:sz w:val="24"/>
                <w:lang w:val="en-US" w:eastAsia="zh-CN"/>
              </w:rPr>
              <w:t>2</w:t>
            </w:r>
            <w:r>
              <w:rPr>
                <w:rFonts w:hint="eastAsia" w:ascii="宋体" w:hAnsi="宋体"/>
                <w:sz w:val="24"/>
              </w:rPr>
              <w:t>日上午11:00时前以书面盖章形式提交至江苏志诚工程咨询管理有限公司，逾时将视为无异议且不再接受答疑文件。所有疑问将在2025年</w:t>
            </w:r>
            <w:r>
              <w:rPr>
                <w:rFonts w:hint="eastAsia" w:ascii="宋体" w:hAnsi="宋体"/>
                <w:sz w:val="24"/>
                <w:lang w:val="en-US" w:eastAsia="zh-CN"/>
              </w:rPr>
              <w:t>5</w:t>
            </w:r>
            <w:r>
              <w:rPr>
                <w:rFonts w:hint="eastAsia" w:ascii="宋体" w:hAnsi="宋体"/>
                <w:sz w:val="24"/>
              </w:rPr>
              <w:t>月2</w:t>
            </w:r>
            <w:r>
              <w:rPr>
                <w:rFonts w:hint="eastAsia" w:ascii="宋体" w:hAnsi="宋体"/>
                <w:sz w:val="24"/>
                <w:lang w:val="en-US" w:eastAsia="zh-CN"/>
              </w:rPr>
              <w:t>2</w:t>
            </w:r>
            <w:r>
              <w:rPr>
                <w:rFonts w:hint="eastAsia" w:ascii="宋体" w:hAnsi="宋体"/>
                <w:sz w:val="24"/>
              </w:rPr>
              <w:t>日下午17:00前以书面形式发放给所有投标单位。</w:t>
            </w:r>
          </w:p>
        </w:tc>
      </w:tr>
      <w:tr w14:paraId="6F582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36A33978">
            <w:pPr>
              <w:widowControl/>
              <w:spacing w:line="360" w:lineRule="auto"/>
              <w:jc w:val="center"/>
              <w:rPr>
                <w:rFonts w:hint="eastAsia" w:ascii="宋体" w:hAnsi="宋体"/>
                <w:snapToGrid w:val="0"/>
                <w:kern w:val="0"/>
                <w:sz w:val="24"/>
              </w:rPr>
            </w:pPr>
            <w:r>
              <w:rPr>
                <w:rFonts w:hint="eastAsia" w:ascii="宋体" w:hAnsi="宋体"/>
                <w:snapToGrid w:val="0"/>
                <w:kern w:val="0"/>
                <w:sz w:val="24"/>
              </w:rPr>
              <w:t>投标预备会</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6901CE07">
            <w:pPr>
              <w:autoSpaceDE w:val="0"/>
              <w:autoSpaceDN w:val="0"/>
              <w:spacing w:line="360" w:lineRule="auto"/>
              <w:jc w:val="left"/>
              <w:rPr>
                <w:rFonts w:hint="eastAsia" w:ascii="宋体" w:hAnsi="宋体"/>
                <w:snapToGrid w:val="0"/>
                <w:kern w:val="0"/>
                <w:sz w:val="24"/>
              </w:rPr>
            </w:pPr>
            <w:r>
              <w:rPr>
                <w:rFonts w:hint="eastAsia" w:ascii="宋体" w:hAnsi="宋体"/>
                <w:snapToGrid w:val="0"/>
                <w:kern w:val="0"/>
                <w:sz w:val="24"/>
              </w:rPr>
              <w:t>■不召开   □召开</w:t>
            </w:r>
          </w:p>
        </w:tc>
      </w:tr>
      <w:tr w14:paraId="3A918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4AB2F09C">
            <w:pPr>
              <w:widowControl/>
              <w:spacing w:line="360" w:lineRule="auto"/>
              <w:jc w:val="center"/>
              <w:rPr>
                <w:rFonts w:hint="eastAsia" w:ascii="宋体" w:hAnsi="宋体"/>
                <w:snapToGrid w:val="0"/>
                <w:kern w:val="0"/>
                <w:sz w:val="24"/>
              </w:rPr>
            </w:pPr>
            <w:r>
              <w:rPr>
                <w:rFonts w:hint="eastAsia" w:ascii="宋体" w:hAnsi="宋体"/>
                <w:snapToGrid w:val="0"/>
                <w:kern w:val="0"/>
                <w:sz w:val="24"/>
              </w:rPr>
              <w:t>投标有效期</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2DB76964">
            <w:pPr>
              <w:widowControl/>
              <w:spacing w:line="360" w:lineRule="auto"/>
              <w:rPr>
                <w:rFonts w:hint="eastAsia" w:ascii="宋体" w:hAnsi="宋体"/>
                <w:snapToGrid w:val="0"/>
                <w:kern w:val="0"/>
                <w:sz w:val="24"/>
              </w:rPr>
            </w:pPr>
            <w:r>
              <w:rPr>
                <w:rFonts w:hint="eastAsia" w:ascii="宋体" w:hAnsi="宋体"/>
                <w:snapToGrid w:val="0"/>
                <w:kern w:val="0"/>
                <w:sz w:val="24"/>
              </w:rPr>
              <w:t>投标截止日后5日内有效</w:t>
            </w:r>
          </w:p>
        </w:tc>
      </w:tr>
      <w:tr w14:paraId="61D3D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20A4F806">
            <w:pPr>
              <w:widowControl/>
              <w:spacing w:line="360" w:lineRule="auto"/>
              <w:jc w:val="center"/>
              <w:rPr>
                <w:rFonts w:hint="eastAsia" w:ascii="宋体" w:hAnsi="宋体"/>
                <w:snapToGrid w:val="0"/>
                <w:kern w:val="0"/>
                <w:sz w:val="24"/>
              </w:rPr>
            </w:pPr>
            <w:r>
              <w:rPr>
                <w:rFonts w:hint="eastAsia" w:ascii="宋体" w:hAnsi="宋体"/>
                <w:snapToGrid w:val="0"/>
                <w:kern w:val="0"/>
                <w:sz w:val="24"/>
              </w:rPr>
              <w:t>投标截止时间</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3AC7BEA2">
            <w:pPr>
              <w:widowControl/>
              <w:spacing w:line="360" w:lineRule="auto"/>
              <w:jc w:val="left"/>
              <w:rPr>
                <w:rFonts w:hint="eastAsia" w:ascii="宋体" w:hAnsi="宋体"/>
                <w:snapToGrid w:val="0"/>
                <w:kern w:val="0"/>
                <w:sz w:val="24"/>
              </w:rPr>
            </w:pPr>
            <w:r>
              <w:rPr>
                <w:rFonts w:hint="eastAsia" w:ascii="宋体" w:hAnsi="宋体"/>
                <w:snapToGrid w:val="0"/>
                <w:sz w:val="24"/>
                <w:szCs w:val="24"/>
              </w:rPr>
              <w:t>202</w:t>
            </w:r>
            <w:r>
              <w:rPr>
                <w:rFonts w:hint="eastAsia" w:ascii="宋体" w:hAnsi="宋体"/>
                <w:snapToGrid w:val="0"/>
                <w:sz w:val="24"/>
                <w:szCs w:val="24"/>
                <w:lang w:val="en-US" w:eastAsia="zh-CN"/>
              </w:rPr>
              <w:t>6</w:t>
            </w:r>
            <w:r>
              <w:rPr>
                <w:rFonts w:hint="eastAsia" w:ascii="宋体" w:hAnsi="宋体"/>
                <w:snapToGrid w:val="0"/>
                <w:sz w:val="24"/>
                <w:szCs w:val="24"/>
              </w:rPr>
              <w:t>年</w:t>
            </w:r>
            <w:r>
              <w:rPr>
                <w:rFonts w:hint="eastAsia" w:ascii="宋体" w:hAnsi="宋体"/>
                <w:snapToGrid w:val="0"/>
                <w:sz w:val="24"/>
                <w:szCs w:val="24"/>
                <w:lang w:val="en-US" w:eastAsia="zh-CN"/>
              </w:rPr>
              <w:t>5</w:t>
            </w:r>
            <w:r>
              <w:rPr>
                <w:rFonts w:hint="eastAsia" w:ascii="宋体" w:hAnsi="宋体"/>
                <w:snapToGrid w:val="0"/>
                <w:sz w:val="24"/>
                <w:szCs w:val="24"/>
              </w:rPr>
              <w:t>月</w:t>
            </w:r>
            <w:r>
              <w:rPr>
                <w:rFonts w:hint="eastAsia" w:ascii="宋体" w:hAnsi="宋体"/>
                <w:snapToGrid w:val="0"/>
                <w:sz w:val="24"/>
                <w:szCs w:val="24"/>
                <w:lang w:val="en-US" w:eastAsia="zh-CN"/>
              </w:rPr>
              <w:t>22</w:t>
            </w:r>
            <w:r>
              <w:rPr>
                <w:rFonts w:hint="eastAsia" w:ascii="宋体" w:hAnsi="宋体"/>
                <w:snapToGrid w:val="0"/>
                <w:sz w:val="24"/>
                <w:szCs w:val="24"/>
              </w:rPr>
              <w:t>日</w:t>
            </w:r>
            <w:r>
              <w:rPr>
                <w:rFonts w:hint="eastAsia" w:ascii="宋体" w:hAnsi="宋体"/>
                <w:snapToGrid w:val="0"/>
                <w:sz w:val="24"/>
                <w:szCs w:val="24"/>
                <w:lang w:val="en-US" w:eastAsia="zh-CN"/>
              </w:rPr>
              <w:t>11</w:t>
            </w:r>
            <w:r>
              <w:rPr>
                <w:rFonts w:hint="eastAsia" w:ascii="宋体" w:hAnsi="宋体"/>
                <w:snapToGrid w:val="0"/>
                <w:sz w:val="24"/>
                <w:szCs w:val="24"/>
              </w:rPr>
              <w:t>时00分</w:t>
            </w:r>
          </w:p>
        </w:tc>
      </w:tr>
      <w:tr w14:paraId="628C3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573C13F2">
            <w:pPr>
              <w:widowControl/>
              <w:spacing w:line="360" w:lineRule="auto"/>
              <w:jc w:val="center"/>
              <w:rPr>
                <w:rFonts w:hint="eastAsia" w:ascii="宋体" w:hAnsi="宋体"/>
                <w:snapToGrid w:val="0"/>
                <w:kern w:val="0"/>
                <w:sz w:val="24"/>
              </w:rPr>
            </w:pPr>
            <w:r>
              <w:rPr>
                <w:rFonts w:hint="eastAsia" w:ascii="宋体" w:hAnsi="宋体"/>
                <w:snapToGrid w:val="0"/>
                <w:kern w:val="0"/>
                <w:sz w:val="24"/>
              </w:rPr>
              <w:t>投标文件递交</w:t>
            </w:r>
          </w:p>
        </w:tc>
        <w:tc>
          <w:tcPr>
            <w:tcW w:w="949" w:type="dxa"/>
            <w:tcBorders>
              <w:top w:val="single" w:color="auto" w:sz="4" w:space="0"/>
              <w:left w:val="single" w:color="auto" w:sz="4" w:space="0"/>
              <w:bottom w:val="single" w:color="auto" w:sz="4" w:space="0"/>
              <w:right w:val="single" w:color="auto" w:sz="4" w:space="0"/>
            </w:tcBorders>
            <w:vAlign w:val="center"/>
          </w:tcPr>
          <w:p w14:paraId="39AB4159">
            <w:pPr>
              <w:widowControl/>
              <w:spacing w:line="360" w:lineRule="auto"/>
              <w:rPr>
                <w:rFonts w:hint="eastAsia" w:ascii="宋体" w:hAnsi="宋体"/>
                <w:snapToGrid w:val="0"/>
                <w:kern w:val="0"/>
                <w:sz w:val="24"/>
              </w:rPr>
            </w:pPr>
            <w:r>
              <w:rPr>
                <w:rFonts w:hint="eastAsia" w:ascii="宋体" w:hAnsi="宋体"/>
                <w:snapToGrid w:val="0"/>
                <w:kern w:val="0"/>
                <w:sz w:val="24"/>
              </w:rPr>
              <w:t>地点</w:t>
            </w:r>
          </w:p>
        </w:tc>
        <w:tc>
          <w:tcPr>
            <w:tcW w:w="3587" w:type="dxa"/>
            <w:gridSpan w:val="3"/>
            <w:tcBorders>
              <w:top w:val="single" w:color="auto" w:sz="4" w:space="0"/>
              <w:left w:val="single" w:color="auto" w:sz="4" w:space="0"/>
              <w:bottom w:val="single" w:color="auto" w:sz="4" w:space="0"/>
              <w:right w:val="single" w:color="auto" w:sz="4" w:space="0"/>
            </w:tcBorders>
            <w:vAlign w:val="center"/>
          </w:tcPr>
          <w:p w14:paraId="5EB70F5D">
            <w:pP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63AC17B">
            <w:pPr>
              <w:widowControl/>
              <w:spacing w:line="360" w:lineRule="auto"/>
              <w:jc w:val="both"/>
              <w:rPr>
                <w:rFonts w:hint="eastAsia" w:ascii="宋体" w:hAnsi="宋体"/>
                <w:snapToGrid w:val="0"/>
                <w:kern w:val="0"/>
                <w:sz w:val="24"/>
              </w:rPr>
            </w:pPr>
          </w:p>
        </w:tc>
        <w:tc>
          <w:tcPr>
            <w:tcW w:w="3392" w:type="dxa"/>
            <w:tcBorders>
              <w:top w:val="single" w:color="auto" w:sz="4" w:space="0"/>
              <w:left w:val="single" w:color="auto" w:sz="4" w:space="0"/>
              <w:bottom w:val="single" w:color="auto" w:sz="4" w:space="0"/>
              <w:right w:val="single" w:color="auto" w:sz="8" w:space="0"/>
            </w:tcBorders>
            <w:vAlign w:val="center"/>
          </w:tcPr>
          <w:p w14:paraId="083DEA7B">
            <w:pPr>
              <w:rPr>
                <w:rFonts w:hint="eastAsia" w:ascii="宋体" w:hAnsi="宋体"/>
                <w:sz w:val="24"/>
              </w:rPr>
            </w:pPr>
          </w:p>
        </w:tc>
      </w:tr>
      <w:tr w14:paraId="1679C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3D53BCA7">
            <w:pPr>
              <w:widowControl/>
              <w:spacing w:line="360" w:lineRule="auto"/>
              <w:jc w:val="center"/>
              <w:rPr>
                <w:rFonts w:hint="eastAsia" w:ascii="宋体" w:hAnsi="宋体"/>
                <w:snapToGrid w:val="0"/>
                <w:kern w:val="0"/>
                <w:sz w:val="24"/>
              </w:rPr>
            </w:pPr>
            <w:r>
              <w:rPr>
                <w:rFonts w:hint="eastAsia" w:ascii="宋体" w:hAnsi="宋体"/>
                <w:snapToGrid w:val="0"/>
                <w:kern w:val="0"/>
                <w:sz w:val="24"/>
              </w:rPr>
              <w:t>开标会</w:t>
            </w:r>
          </w:p>
        </w:tc>
        <w:tc>
          <w:tcPr>
            <w:tcW w:w="949" w:type="dxa"/>
            <w:tcBorders>
              <w:top w:val="single" w:color="auto" w:sz="4" w:space="0"/>
              <w:left w:val="single" w:color="auto" w:sz="4" w:space="0"/>
              <w:bottom w:val="single" w:color="auto" w:sz="4" w:space="0"/>
              <w:right w:val="single" w:color="auto" w:sz="4" w:space="0"/>
            </w:tcBorders>
            <w:vAlign w:val="center"/>
          </w:tcPr>
          <w:p w14:paraId="10224586">
            <w:pPr>
              <w:widowControl/>
              <w:spacing w:line="360" w:lineRule="auto"/>
              <w:rPr>
                <w:rFonts w:hint="eastAsia" w:ascii="宋体" w:hAnsi="宋体"/>
                <w:snapToGrid w:val="0"/>
                <w:kern w:val="0"/>
                <w:sz w:val="24"/>
              </w:rPr>
            </w:pPr>
            <w:r>
              <w:rPr>
                <w:rFonts w:hint="eastAsia" w:ascii="宋体" w:hAnsi="宋体"/>
                <w:snapToGrid w:val="0"/>
                <w:kern w:val="0"/>
                <w:sz w:val="24"/>
              </w:rPr>
              <w:t>时间</w:t>
            </w:r>
          </w:p>
        </w:tc>
        <w:tc>
          <w:tcPr>
            <w:tcW w:w="3587" w:type="dxa"/>
            <w:gridSpan w:val="3"/>
            <w:tcBorders>
              <w:top w:val="single" w:color="auto" w:sz="4" w:space="0"/>
              <w:left w:val="single" w:color="auto" w:sz="4" w:space="0"/>
              <w:bottom w:val="single" w:color="auto" w:sz="4" w:space="0"/>
              <w:right w:val="single" w:color="auto" w:sz="4" w:space="0"/>
            </w:tcBorders>
            <w:vAlign w:val="center"/>
          </w:tcPr>
          <w:p w14:paraId="4A3335B4">
            <w:pPr>
              <w:rPr>
                <w:rFonts w:hint="eastAsia" w:ascii="宋体" w:hAnsi="宋体"/>
                <w:sz w:val="24"/>
              </w:rPr>
            </w:pPr>
            <w:r>
              <w:rPr>
                <w:rFonts w:hint="eastAsia" w:ascii="宋体" w:hAnsi="宋体"/>
                <w:snapToGrid w:val="0"/>
                <w:sz w:val="24"/>
                <w:szCs w:val="24"/>
              </w:rPr>
              <w:t>202</w:t>
            </w:r>
            <w:r>
              <w:rPr>
                <w:rFonts w:hint="eastAsia" w:ascii="宋体" w:hAnsi="宋体"/>
                <w:snapToGrid w:val="0"/>
                <w:sz w:val="24"/>
                <w:szCs w:val="24"/>
                <w:lang w:val="en-US" w:eastAsia="zh-CN"/>
              </w:rPr>
              <w:t>2</w:t>
            </w:r>
            <w:r>
              <w:rPr>
                <w:rFonts w:hint="eastAsia" w:ascii="宋体" w:hAnsi="宋体"/>
                <w:snapToGrid w:val="0"/>
                <w:sz w:val="24"/>
                <w:szCs w:val="24"/>
              </w:rPr>
              <w:t>年</w:t>
            </w:r>
            <w:r>
              <w:rPr>
                <w:rFonts w:hint="eastAsia" w:ascii="宋体" w:hAnsi="宋体"/>
                <w:snapToGrid w:val="0"/>
                <w:sz w:val="24"/>
                <w:szCs w:val="24"/>
                <w:lang w:val="en-US" w:eastAsia="zh-CN"/>
              </w:rPr>
              <w:t>5</w:t>
            </w:r>
            <w:r>
              <w:rPr>
                <w:rFonts w:hint="eastAsia" w:ascii="宋体" w:hAnsi="宋体"/>
                <w:snapToGrid w:val="0"/>
                <w:sz w:val="24"/>
                <w:szCs w:val="24"/>
              </w:rPr>
              <w:t>月</w:t>
            </w:r>
            <w:r>
              <w:rPr>
                <w:rFonts w:hint="eastAsia" w:ascii="宋体" w:hAnsi="宋体"/>
                <w:snapToGrid w:val="0"/>
                <w:sz w:val="24"/>
                <w:szCs w:val="24"/>
                <w:lang w:val="en-US" w:eastAsia="zh-CN"/>
              </w:rPr>
              <w:t>25</w:t>
            </w:r>
            <w:r>
              <w:rPr>
                <w:rFonts w:hint="eastAsia" w:ascii="宋体" w:hAnsi="宋体"/>
                <w:snapToGrid w:val="0"/>
                <w:sz w:val="24"/>
                <w:szCs w:val="24"/>
              </w:rPr>
              <w:t>日</w:t>
            </w:r>
            <w:r>
              <w:rPr>
                <w:rFonts w:hint="eastAsia" w:ascii="宋体" w:hAnsi="宋体"/>
                <w:snapToGrid w:val="0"/>
                <w:sz w:val="24"/>
                <w:szCs w:val="24"/>
                <w:lang w:val="en-US" w:eastAsia="zh-CN"/>
              </w:rPr>
              <w:t>11</w:t>
            </w:r>
            <w:r>
              <w:rPr>
                <w:rFonts w:hint="eastAsia" w:ascii="宋体" w:hAnsi="宋体"/>
                <w:snapToGrid w:val="0"/>
                <w:sz w:val="24"/>
                <w:szCs w:val="24"/>
              </w:rPr>
              <w:t>时00分</w:t>
            </w:r>
          </w:p>
        </w:tc>
        <w:tc>
          <w:tcPr>
            <w:tcW w:w="993" w:type="dxa"/>
            <w:tcBorders>
              <w:top w:val="single" w:color="auto" w:sz="4" w:space="0"/>
              <w:left w:val="single" w:color="auto" w:sz="4" w:space="0"/>
              <w:bottom w:val="single" w:color="auto" w:sz="4" w:space="0"/>
              <w:right w:val="single" w:color="auto" w:sz="4" w:space="0"/>
            </w:tcBorders>
            <w:vAlign w:val="center"/>
          </w:tcPr>
          <w:p w14:paraId="771388EB">
            <w:pPr>
              <w:widowControl/>
              <w:spacing w:line="360" w:lineRule="auto"/>
              <w:jc w:val="center"/>
              <w:rPr>
                <w:rFonts w:hint="eastAsia" w:ascii="宋体" w:hAnsi="宋体"/>
                <w:snapToGrid w:val="0"/>
                <w:kern w:val="0"/>
                <w:sz w:val="24"/>
              </w:rPr>
            </w:pPr>
            <w:r>
              <w:rPr>
                <w:rFonts w:hint="eastAsia" w:ascii="宋体" w:hAnsi="宋体"/>
                <w:snapToGrid w:val="0"/>
                <w:kern w:val="0"/>
                <w:sz w:val="24"/>
              </w:rPr>
              <w:t>地点</w:t>
            </w:r>
          </w:p>
        </w:tc>
        <w:tc>
          <w:tcPr>
            <w:tcW w:w="3392" w:type="dxa"/>
            <w:tcBorders>
              <w:top w:val="single" w:color="auto" w:sz="4" w:space="0"/>
              <w:left w:val="single" w:color="auto" w:sz="4" w:space="0"/>
              <w:bottom w:val="single" w:color="auto" w:sz="4" w:space="0"/>
              <w:right w:val="single" w:color="auto" w:sz="8" w:space="0"/>
            </w:tcBorders>
            <w:vAlign w:val="center"/>
          </w:tcPr>
          <w:p w14:paraId="353CAB9A">
            <w:pPr>
              <w:rPr>
                <w:rFonts w:hint="eastAsia" w:ascii="宋体" w:hAnsi="宋体"/>
                <w:sz w:val="24"/>
              </w:rPr>
            </w:pPr>
          </w:p>
        </w:tc>
      </w:tr>
      <w:tr w14:paraId="4449F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0BD1487B">
            <w:pPr>
              <w:snapToGrid w:val="0"/>
              <w:spacing w:line="460" w:lineRule="exact"/>
              <w:jc w:val="center"/>
              <w:rPr>
                <w:rFonts w:hint="eastAsia" w:ascii="宋体" w:hAnsi="宋体"/>
                <w:snapToGrid w:val="0"/>
                <w:sz w:val="24"/>
              </w:rPr>
            </w:pPr>
            <w:r>
              <w:rPr>
                <w:rFonts w:hint="eastAsia" w:ascii="宋体" w:hAnsi="宋体"/>
                <w:snapToGrid w:val="0"/>
                <w:sz w:val="24"/>
              </w:rPr>
              <w:t>开标</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6E022179">
            <w:pPr>
              <w:rPr>
                <w:rFonts w:hint="eastAsia" w:ascii="宋体" w:hAnsi="宋体"/>
                <w:snapToGrid w:val="0"/>
                <w:sz w:val="24"/>
              </w:rPr>
            </w:pPr>
            <w:r>
              <w:rPr>
                <w:rFonts w:hint="eastAsia" w:ascii="宋体" w:hAnsi="宋体"/>
                <w:sz w:val="24"/>
              </w:rPr>
              <w:t>招标人邀请所有投标人的法定代表人或其委托代理人开标会。投标人的法定代表人或其委托代理人应当在投标文件递交截止时间前到达开标会现场并签到，在招标人按开标程序进行点名时出示本人身份证，以证明其出席。否则，招标人将拒收其投标文件。</w:t>
            </w:r>
          </w:p>
        </w:tc>
      </w:tr>
      <w:tr w14:paraId="4A125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6844D4DC">
            <w:pPr>
              <w:snapToGrid w:val="0"/>
              <w:spacing w:line="460" w:lineRule="exact"/>
              <w:jc w:val="center"/>
              <w:rPr>
                <w:rFonts w:hint="eastAsia" w:ascii="宋体" w:hAnsi="宋体"/>
                <w:snapToGrid w:val="0"/>
                <w:sz w:val="24"/>
              </w:rPr>
            </w:pPr>
            <w:r>
              <w:rPr>
                <w:rFonts w:hint="eastAsia" w:ascii="宋体" w:hAnsi="宋体"/>
                <w:snapToGrid w:val="0"/>
                <w:sz w:val="24"/>
              </w:rPr>
              <w:t>唱标顺序</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5A597684">
            <w:pPr>
              <w:snapToGrid w:val="0"/>
              <w:spacing w:line="460" w:lineRule="exact"/>
              <w:jc w:val="left"/>
              <w:rPr>
                <w:rFonts w:hint="eastAsia" w:ascii="宋体" w:hAnsi="宋体"/>
                <w:snapToGrid w:val="0"/>
                <w:sz w:val="24"/>
              </w:rPr>
            </w:pPr>
            <w:bookmarkStart w:id="7" w:name="EB2fd68c57f9634071bd9e433e0ae3f8a2"/>
            <w:r>
              <w:rPr>
                <w:rFonts w:hint="eastAsia" w:ascii="宋体" w:hAnsi="宋体"/>
                <w:snapToGrid w:val="0"/>
                <w:sz w:val="24"/>
              </w:rPr>
              <w:t>随机唱标</w:t>
            </w:r>
            <w:bookmarkEnd w:id="7"/>
          </w:p>
        </w:tc>
      </w:tr>
      <w:tr w14:paraId="22F01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2ACAF94C">
            <w:pPr>
              <w:widowControl/>
              <w:spacing w:line="360" w:lineRule="auto"/>
              <w:jc w:val="center"/>
              <w:rPr>
                <w:rFonts w:hint="eastAsia" w:ascii="宋体" w:hAnsi="宋体"/>
                <w:snapToGrid w:val="0"/>
                <w:kern w:val="0"/>
                <w:sz w:val="24"/>
              </w:rPr>
            </w:pPr>
            <w:r>
              <w:rPr>
                <w:rFonts w:hint="eastAsia" w:ascii="宋体" w:hAnsi="宋体"/>
                <w:snapToGrid w:val="0"/>
                <w:kern w:val="0"/>
                <w:sz w:val="24"/>
              </w:rPr>
              <w:t>控制价编制依据</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5798EFB8">
            <w:pPr>
              <w:widowControl/>
              <w:spacing w:line="360" w:lineRule="auto"/>
              <w:jc w:val="left"/>
              <w:rPr>
                <w:rFonts w:hint="eastAsia" w:ascii="宋体" w:hAnsi="宋体"/>
                <w:snapToGrid w:val="0"/>
                <w:kern w:val="0"/>
                <w:sz w:val="24"/>
              </w:rPr>
            </w:pPr>
            <w:r>
              <w:rPr>
                <w:rFonts w:hint="eastAsia" w:ascii="宋体" w:hAnsi="宋体"/>
                <w:snapToGrid w:val="0"/>
                <w:kern w:val="0"/>
                <w:sz w:val="24"/>
              </w:rPr>
              <w:t>控制价编制采用工程量清单计价方式</w:t>
            </w:r>
          </w:p>
        </w:tc>
      </w:tr>
      <w:tr w14:paraId="0F321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44003696">
            <w:pPr>
              <w:widowControl/>
              <w:spacing w:line="360" w:lineRule="auto"/>
              <w:jc w:val="center"/>
              <w:rPr>
                <w:rFonts w:hint="eastAsia" w:ascii="宋体" w:hAnsi="宋体"/>
                <w:snapToGrid w:val="0"/>
                <w:kern w:val="0"/>
                <w:sz w:val="24"/>
              </w:rPr>
            </w:pPr>
            <w:r>
              <w:rPr>
                <w:rFonts w:hint="eastAsia" w:ascii="宋体" w:hAnsi="宋体"/>
                <w:snapToGrid w:val="0"/>
                <w:kern w:val="0"/>
                <w:sz w:val="24"/>
              </w:rPr>
              <w:t>投标报价方式</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7003F27C">
            <w:pPr>
              <w:widowControl/>
              <w:spacing w:line="360" w:lineRule="auto"/>
              <w:jc w:val="left"/>
              <w:rPr>
                <w:rFonts w:hint="eastAsia" w:ascii="宋体" w:hAnsi="宋体"/>
                <w:snapToGrid w:val="0"/>
                <w:kern w:val="0"/>
                <w:sz w:val="24"/>
              </w:rPr>
            </w:pPr>
            <w:r>
              <w:rPr>
                <w:rFonts w:hint="eastAsia" w:ascii="宋体" w:hAnsi="宋体"/>
                <w:sz w:val="24"/>
              </w:rPr>
              <w:t>工程量清单报价</w:t>
            </w:r>
          </w:p>
        </w:tc>
      </w:tr>
      <w:tr w14:paraId="52E07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08950B85">
            <w:pPr>
              <w:snapToGrid w:val="0"/>
              <w:spacing w:line="460" w:lineRule="exact"/>
              <w:jc w:val="center"/>
              <w:rPr>
                <w:rFonts w:hint="eastAsia" w:ascii="宋体" w:hAnsi="宋体"/>
                <w:snapToGrid w:val="0"/>
                <w:sz w:val="24"/>
              </w:rPr>
            </w:pPr>
            <w:r>
              <w:rPr>
                <w:rFonts w:hint="eastAsia" w:ascii="宋体" w:hAnsi="宋体"/>
                <w:snapToGrid w:val="0"/>
                <w:sz w:val="24"/>
              </w:rPr>
              <w:t>投标文件</w:t>
            </w:r>
          </w:p>
          <w:p w14:paraId="4BB29DED">
            <w:pPr>
              <w:snapToGrid w:val="0"/>
              <w:spacing w:line="460" w:lineRule="exact"/>
              <w:jc w:val="center"/>
              <w:rPr>
                <w:rFonts w:hint="eastAsia" w:ascii="宋体" w:hAnsi="宋体"/>
                <w:snapToGrid w:val="0"/>
                <w:sz w:val="24"/>
              </w:rPr>
            </w:pPr>
            <w:r>
              <w:rPr>
                <w:rFonts w:hint="eastAsia" w:ascii="宋体" w:hAnsi="宋体"/>
                <w:snapToGrid w:val="0"/>
                <w:sz w:val="24"/>
              </w:rPr>
              <w:t>密封要求</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7B77EC2D">
            <w:pPr>
              <w:rPr>
                <w:rFonts w:hint="eastAsia" w:ascii="宋体" w:hAnsi="宋体"/>
                <w:sz w:val="24"/>
              </w:rPr>
            </w:pPr>
            <w:bookmarkStart w:id="8" w:name="EBd723dc3b464f487494fe85d1e6d11bd1"/>
            <w:bookmarkEnd w:id="8"/>
            <w:r>
              <w:rPr>
                <w:rFonts w:hint="eastAsia" w:ascii="宋体" w:hAnsi="宋体"/>
                <w:sz w:val="24"/>
              </w:rPr>
              <w:t>1、投标文件封袋上应写明招标人名称、项目名称及投标人的名称。</w:t>
            </w:r>
          </w:p>
          <w:p w14:paraId="448017D8">
            <w:pPr>
              <w:rPr>
                <w:rFonts w:hint="eastAsia" w:ascii="宋体" w:hAnsi="宋体"/>
                <w:snapToGrid w:val="0"/>
                <w:sz w:val="24"/>
                <w:szCs w:val="24"/>
              </w:rPr>
            </w:pPr>
            <w:r>
              <w:rPr>
                <w:rFonts w:hint="eastAsia" w:ascii="宋体" w:hAnsi="宋体"/>
                <w:sz w:val="24"/>
              </w:rPr>
              <w:t>2、投标文件必须在封袋加盖投标单位法人公章及其法定代表人或授权委托人印鉴。</w:t>
            </w:r>
          </w:p>
        </w:tc>
      </w:tr>
      <w:tr w14:paraId="45939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4FC151F8">
            <w:pPr>
              <w:widowControl/>
              <w:spacing w:line="360" w:lineRule="auto"/>
              <w:jc w:val="center"/>
              <w:rPr>
                <w:rFonts w:hint="eastAsia" w:ascii="宋体" w:hAnsi="宋体"/>
                <w:snapToGrid w:val="0"/>
                <w:kern w:val="0"/>
                <w:sz w:val="24"/>
              </w:rPr>
            </w:pPr>
            <w:r>
              <w:rPr>
                <w:rFonts w:hint="eastAsia" w:ascii="宋体" w:hAnsi="宋体"/>
                <w:snapToGrid w:val="0"/>
                <w:kern w:val="0"/>
                <w:sz w:val="24"/>
              </w:rPr>
              <w:t>评标办法</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1C9B7520">
            <w:pPr>
              <w:widowControl/>
              <w:spacing w:line="360" w:lineRule="auto"/>
              <w:jc w:val="left"/>
              <w:rPr>
                <w:rFonts w:hint="eastAsia" w:ascii="宋体" w:hAnsi="宋体"/>
                <w:b/>
                <w:snapToGrid w:val="0"/>
                <w:kern w:val="0"/>
                <w:sz w:val="24"/>
              </w:rPr>
            </w:pPr>
            <w:r>
              <w:rPr>
                <w:rFonts w:hint="eastAsia" w:ascii="宋体" w:hAnsi="宋体"/>
                <w:snapToGrid w:val="0"/>
                <w:kern w:val="0"/>
                <w:sz w:val="24"/>
              </w:rPr>
              <w:t>经评审的最低投标价法</w:t>
            </w:r>
          </w:p>
        </w:tc>
      </w:tr>
      <w:tr w14:paraId="7D352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338" w:type="dxa"/>
            <w:gridSpan w:val="3"/>
            <w:tcBorders>
              <w:top w:val="single" w:color="auto" w:sz="4" w:space="0"/>
              <w:left w:val="single" w:color="auto" w:sz="8" w:space="0"/>
              <w:bottom w:val="single" w:color="auto" w:sz="4" w:space="0"/>
              <w:right w:val="single" w:color="auto" w:sz="4" w:space="0"/>
            </w:tcBorders>
            <w:vAlign w:val="center"/>
          </w:tcPr>
          <w:p w14:paraId="2B48AAEB">
            <w:pPr>
              <w:spacing w:line="360" w:lineRule="auto"/>
              <w:jc w:val="center"/>
              <w:rPr>
                <w:rFonts w:hint="eastAsia" w:ascii="宋体" w:hAnsi="宋体"/>
                <w:sz w:val="24"/>
              </w:rPr>
            </w:pPr>
            <w:r>
              <w:rPr>
                <w:rFonts w:hint="eastAsia" w:ascii="宋体" w:hAnsi="宋体"/>
                <w:snapToGrid w:val="0"/>
                <w:kern w:val="0"/>
                <w:sz w:val="24"/>
              </w:rPr>
              <w:t>是否授权评委会确定中标人</w:t>
            </w:r>
          </w:p>
        </w:tc>
        <w:tc>
          <w:tcPr>
            <w:tcW w:w="7392" w:type="dxa"/>
            <w:gridSpan w:val="4"/>
            <w:tcBorders>
              <w:top w:val="single" w:color="auto" w:sz="4" w:space="0"/>
              <w:left w:val="single" w:color="auto" w:sz="4" w:space="0"/>
              <w:bottom w:val="single" w:color="auto" w:sz="4" w:space="0"/>
              <w:right w:val="single" w:color="auto" w:sz="8" w:space="0"/>
            </w:tcBorders>
            <w:vAlign w:val="center"/>
          </w:tcPr>
          <w:p w14:paraId="2B2D6CCB">
            <w:pPr>
              <w:autoSpaceDE w:val="0"/>
              <w:autoSpaceDN w:val="0"/>
              <w:spacing w:line="360" w:lineRule="auto"/>
              <w:jc w:val="left"/>
              <w:rPr>
                <w:rFonts w:hint="eastAsia" w:ascii="宋体" w:hAnsi="宋体" w:cs="宋体"/>
                <w:kern w:val="0"/>
                <w:sz w:val="24"/>
              </w:rPr>
            </w:pPr>
            <w:r>
              <w:rPr>
                <w:rFonts w:hint="eastAsia" w:ascii="宋体" w:hAnsi="宋体" w:cs="TimesNewRomanPSMT"/>
                <w:kern w:val="0"/>
                <w:sz w:val="24"/>
              </w:rPr>
              <w:t>■</w:t>
            </w:r>
            <w:r>
              <w:rPr>
                <w:rFonts w:hint="eastAsia" w:ascii="宋体" w:hAnsi="宋体"/>
                <w:snapToGrid w:val="0"/>
                <w:kern w:val="0"/>
                <w:sz w:val="24"/>
              </w:rPr>
              <w:t>是</w:t>
            </w:r>
            <w:r>
              <w:rPr>
                <w:rFonts w:hint="eastAsia" w:ascii="宋体" w:hAnsi="宋体" w:cs="宋体"/>
                <w:kern w:val="0"/>
                <w:sz w:val="24"/>
              </w:rPr>
              <w:t xml:space="preserve">   </w:t>
            </w:r>
            <w:r>
              <w:rPr>
                <w:rFonts w:hint="eastAsia" w:ascii="宋体" w:hAnsi="宋体" w:cs="TimesNewRomanPSMT"/>
                <w:kern w:val="0"/>
                <w:sz w:val="24"/>
              </w:rPr>
              <w:t>□</w:t>
            </w:r>
            <w:r>
              <w:rPr>
                <w:rFonts w:hint="eastAsia" w:ascii="宋体" w:hAnsi="宋体"/>
                <w:snapToGrid w:val="0"/>
                <w:kern w:val="0"/>
                <w:sz w:val="24"/>
              </w:rPr>
              <w:t>否，推荐的中标候选人数：3</w:t>
            </w:r>
          </w:p>
        </w:tc>
      </w:tr>
      <w:tr w14:paraId="6DBD9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178A7F69">
            <w:pPr>
              <w:widowControl/>
              <w:spacing w:line="360" w:lineRule="auto"/>
              <w:jc w:val="center"/>
              <w:rPr>
                <w:rFonts w:hint="eastAsia" w:ascii="宋体" w:hAnsi="宋体" w:cs="Arial"/>
                <w:kern w:val="0"/>
                <w:sz w:val="24"/>
              </w:rPr>
            </w:pPr>
            <w:r>
              <w:rPr>
                <w:rFonts w:hint="eastAsia" w:ascii="宋体" w:hAnsi="宋体"/>
                <w:snapToGrid w:val="0"/>
                <w:kern w:val="0"/>
                <w:sz w:val="24"/>
              </w:rPr>
              <w:t>分包</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5F3C9C40">
            <w:pPr>
              <w:autoSpaceDE w:val="0"/>
              <w:autoSpaceDN w:val="0"/>
              <w:spacing w:line="360" w:lineRule="auto"/>
              <w:jc w:val="left"/>
              <w:rPr>
                <w:rFonts w:hint="eastAsia" w:ascii="宋体" w:hAnsi="宋体"/>
                <w:sz w:val="24"/>
              </w:rPr>
            </w:pPr>
            <w:r>
              <w:rPr>
                <w:rFonts w:hint="eastAsia" w:ascii="宋体" w:hAnsi="宋体" w:cs="TimesNewRomanPSMT"/>
                <w:kern w:val="0"/>
                <w:sz w:val="24"/>
              </w:rPr>
              <w:t>■</w:t>
            </w:r>
            <w:r>
              <w:rPr>
                <w:rFonts w:hint="eastAsia" w:ascii="宋体" w:hAnsi="宋体"/>
                <w:snapToGrid w:val="0"/>
                <w:kern w:val="0"/>
                <w:sz w:val="24"/>
              </w:rPr>
              <w:t>不允许</w:t>
            </w:r>
            <w:r>
              <w:rPr>
                <w:rFonts w:hint="eastAsia" w:ascii="宋体" w:hAnsi="宋体" w:cs="宋体"/>
                <w:kern w:val="0"/>
                <w:sz w:val="24"/>
              </w:rPr>
              <w:t xml:space="preserve">   </w:t>
            </w:r>
            <w:r>
              <w:rPr>
                <w:rFonts w:hint="eastAsia" w:ascii="宋体" w:hAnsi="宋体" w:cs="TimesNewRomanPSMT"/>
                <w:kern w:val="0"/>
                <w:sz w:val="24"/>
              </w:rPr>
              <w:t>□</w:t>
            </w:r>
            <w:r>
              <w:rPr>
                <w:rFonts w:hint="eastAsia" w:ascii="宋体" w:hAnsi="宋体"/>
                <w:snapToGrid w:val="0"/>
                <w:kern w:val="0"/>
                <w:sz w:val="24"/>
              </w:rPr>
              <w:t>允许</w:t>
            </w:r>
          </w:p>
        </w:tc>
      </w:tr>
      <w:tr w14:paraId="65298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1947FE49">
            <w:pPr>
              <w:widowControl/>
              <w:spacing w:line="360" w:lineRule="auto"/>
              <w:ind w:left="29" w:hanging="28" w:hangingChars="12"/>
              <w:jc w:val="center"/>
              <w:rPr>
                <w:rFonts w:hint="eastAsia" w:ascii="宋体" w:hAnsi="宋体"/>
                <w:sz w:val="24"/>
              </w:rPr>
            </w:pPr>
            <w:r>
              <w:rPr>
                <w:rFonts w:hint="eastAsia" w:ascii="宋体" w:hAnsi="宋体"/>
                <w:sz w:val="24"/>
              </w:rPr>
              <w:t>合同结算方式</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6DE2B50B">
            <w:pPr>
              <w:spacing w:line="360" w:lineRule="auto"/>
              <w:rPr>
                <w:rFonts w:hint="eastAsia" w:ascii="宋体" w:hAnsi="宋体"/>
                <w:sz w:val="24"/>
              </w:rPr>
            </w:pPr>
            <w:r>
              <w:rPr>
                <w:rFonts w:hint="eastAsia" w:ascii="宋体" w:hAnsi="宋体"/>
                <w:sz w:val="24"/>
              </w:rPr>
              <w:t>本工程采用固定单价合同，工程量按实结算，除设计变更和招标人要求变动的内容外，投标综合单价不作任何调整。</w:t>
            </w:r>
          </w:p>
        </w:tc>
      </w:tr>
      <w:tr w14:paraId="0DC21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02677C94">
            <w:pPr>
              <w:widowControl/>
              <w:spacing w:line="360" w:lineRule="auto"/>
              <w:ind w:left="29" w:hanging="28" w:hangingChars="12"/>
              <w:jc w:val="center"/>
              <w:rPr>
                <w:rFonts w:hint="eastAsia" w:ascii="宋体" w:hAnsi="宋体"/>
                <w:sz w:val="24"/>
              </w:rPr>
            </w:pPr>
            <w:r>
              <w:rPr>
                <w:rFonts w:hint="eastAsia" w:ascii="宋体" w:hAnsi="宋体"/>
                <w:sz w:val="24"/>
              </w:rPr>
              <w:t>工程款支付</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6E4A9B7C">
            <w:pPr>
              <w:tabs>
                <w:tab w:val="left" w:pos="0"/>
                <w:tab w:val="left" w:pos="993"/>
                <w:tab w:val="left" w:pos="1134"/>
              </w:tabs>
              <w:spacing w:line="360" w:lineRule="auto"/>
              <w:rPr>
                <w:rFonts w:hint="eastAsia" w:ascii="宋体" w:hAnsi="宋体"/>
                <w:sz w:val="24"/>
              </w:rPr>
            </w:pPr>
            <w:r>
              <w:rPr>
                <w:rFonts w:hint="eastAsia" w:ascii="宋体" w:hAnsi="宋体" w:cs="宋体"/>
                <w:kern w:val="0"/>
                <w:sz w:val="24"/>
                <w:szCs w:val="24"/>
                <w:highlight w:val="yellow"/>
              </w:rPr>
              <w:t>中标价即为合同价，工程竣工验收合格且工程结算审计完成后付至审定价的 97%，剩余3%作为质保金，质保期满后无息退还。</w:t>
            </w:r>
          </w:p>
        </w:tc>
      </w:tr>
      <w:tr w14:paraId="42C28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09" w:type="dxa"/>
            <w:tcBorders>
              <w:top w:val="single" w:color="auto" w:sz="4" w:space="0"/>
              <w:left w:val="single" w:color="auto" w:sz="8" w:space="0"/>
              <w:bottom w:val="single" w:color="auto" w:sz="4" w:space="0"/>
              <w:right w:val="single" w:color="auto" w:sz="4" w:space="0"/>
            </w:tcBorders>
            <w:vAlign w:val="center"/>
          </w:tcPr>
          <w:p w14:paraId="4F6FA25B">
            <w:pPr>
              <w:widowControl/>
              <w:spacing w:line="360" w:lineRule="auto"/>
              <w:jc w:val="center"/>
              <w:rPr>
                <w:rFonts w:hint="eastAsia" w:ascii="宋体" w:hAnsi="宋体"/>
                <w:snapToGrid w:val="0"/>
                <w:kern w:val="0"/>
                <w:sz w:val="24"/>
              </w:rPr>
            </w:pPr>
            <w:r>
              <w:rPr>
                <w:rFonts w:hint="eastAsia" w:ascii="宋体" w:hAnsi="宋体"/>
                <w:snapToGrid w:val="0"/>
                <w:kern w:val="0"/>
                <w:sz w:val="24"/>
              </w:rPr>
              <w:t>其他</w:t>
            </w:r>
          </w:p>
        </w:tc>
        <w:tc>
          <w:tcPr>
            <w:tcW w:w="8921" w:type="dxa"/>
            <w:gridSpan w:val="6"/>
            <w:tcBorders>
              <w:top w:val="single" w:color="auto" w:sz="4" w:space="0"/>
              <w:left w:val="single" w:color="auto" w:sz="4" w:space="0"/>
              <w:bottom w:val="single" w:color="auto" w:sz="4" w:space="0"/>
              <w:right w:val="single" w:color="auto" w:sz="8" w:space="0"/>
            </w:tcBorders>
            <w:vAlign w:val="center"/>
          </w:tcPr>
          <w:p w14:paraId="70B8016D">
            <w:pPr>
              <w:rPr>
                <w:rFonts w:hint="eastAsia" w:ascii="宋体" w:hAnsi="宋体"/>
                <w:sz w:val="24"/>
              </w:rPr>
            </w:pPr>
            <w:r>
              <w:rPr>
                <w:rFonts w:hint="eastAsia" w:ascii="宋体" w:hAnsi="宋体"/>
                <w:sz w:val="24"/>
              </w:rPr>
              <w:t>1、下文中与“前附表”内容不一致的，以“前附表”为准.</w:t>
            </w:r>
          </w:p>
          <w:p w14:paraId="1E848591">
            <w:pPr>
              <w:rPr>
                <w:rFonts w:hint="eastAsia" w:ascii="宋体" w:hAnsi="宋体"/>
                <w:sz w:val="24"/>
              </w:rPr>
            </w:pPr>
            <w:r>
              <w:rPr>
                <w:rFonts w:hint="eastAsia" w:ascii="宋体" w:hAnsi="宋体"/>
                <w:sz w:val="24"/>
              </w:rPr>
              <w:t>2、免责条款：投标人应在投标前自行对工程现状、面积、质量、权属、真伪等情况进行调查核实确认，并对自行确认的结果负责，本公告工程所介绍的内容由招标人提供，仅供参考。</w:t>
            </w:r>
          </w:p>
          <w:p w14:paraId="6D091B3F">
            <w:pPr>
              <w:rPr>
                <w:rFonts w:hint="eastAsia" w:ascii="宋体" w:hAnsi="宋体"/>
                <w:sz w:val="24"/>
              </w:rPr>
            </w:pPr>
            <w:r>
              <w:rPr>
                <w:rFonts w:hint="eastAsia" w:ascii="宋体" w:hAnsi="宋体"/>
                <w:sz w:val="24"/>
              </w:rPr>
              <w:t>3、</w:t>
            </w:r>
            <w:r>
              <w:rPr>
                <w:rFonts w:hint="eastAsia" w:cs="宋体" w:asciiTheme="minorEastAsia" w:hAnsiTheme="minorEastAsia" w:eastAsiaTheme="minorEastAsia"/>
                <w:sz w:val="24"/>
                <w:szCs w:val="24"/>
              </w:rPr>
              <w:t>投标人须对项目施工现场和周围环境自行进行勘察，以便了解相关情况，勘察现场所承担的风险及发生的费用由投标人自己承担。投标人到现场实地勘察，应充分了解地理位置、道路、储存空间、装卸限制及任何其他足以影响投标价的情况，任何忽视或误解工地情况而导致的索赔或工期延长申请将不获得批准。</w:t>
            </w:r>
          </w:p>
          <w:p w14:paraId="04FF46E9">
            <w:pPr>
              <w:rPr>
                <w:rFonts w:hint="eastAsia" w:ascii="宋体" w:hAnsi="宋体"/>
                <w:sz w:val="24"/>
              </w:rPr>
            </w:pPr>
            <w:r>
              <w:rPr>
                <w:rFonts w:hint="eastAsia" w:ascii="宋体" w:hAnsi="宋体"/>
                <w:sz w:val="24"/>
              </w:rPr>
              <w:t>4、投标报价时，投标人不得采用低于成本的报价竞标，不得进行恶性竞争，损害他人及社会公共利益。</w:t>
            </w:r>
          </w:p>
          <w:p w14:paraId="4A759727">
            <w:pPr>
              <w:rPr>
                <w:rFonts w:hint="eastAsia" w:ascii="宋体" w:hAnsi="宋体"/>
                <w:sz w:val="24"/>
              </w:rPr>
            </w:pPr>
            <w:r>
              <w:rPr>
                <w:rFonts w:hint="eastAsia" w:ascii="宋体" w:hAnsi="宋体"/>
                <w:sz w:val="24"/>
              </w:rPr>
              <w:t>5、投标人不得将本工程进行转包或违法分包。</w:t>
            </w:r>
          </w:p>
          <w:p w14:paraId="528D398B">
            <w:pPr>
              <w:rPr>
                <w:rFonts w:hint="eastAsia" w:ascii="宋体" w:hAnsi="宋体"/>
                <w:sz w:val="24"/>
              </w:rPr>
            </w:pPr>
            <w:r>
              <w:rPr>
                <w:rFonts w:hint="eastAsia" w:ascii="宋体" w:hAnsi="宋体"/>
                <w:sz w:val="24"/>
              </w:rPr>
              <w:t>6、在投标阶段，投标人正被列为失信被执行人的，评标委员会不得推荐该投标人为中标人。</w:t>
            </w:r>
          </w:p>
        </w:tc>
      </w:tr>
      <w:tr w14:paraId="16896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09" w:type="dxa"/>
            <w:tcBorders>
              <w:top w:val="single" w:color="auto" w:sz="4" w:space="0"/>
              <w:left w:val="single" w:color="auto" w:sz="8" w:space="0"/>
              <w:bottom w:val="single" w:color="auto" w:sz="8" w:space="0"/>
              <w:right w:val="single" w:color="auto" w:sz="4" w:space="0"/>
            </w:tcBorders>
            <w:vAlign w:val="center"/>
          </w:tcPr>
          <w:p w14:paraId="5394587A">
            <w:pPr>
              <w:widowControl/>
              <w:spacing w:line="360" w:lineRule="auto"/>
              <w:jc w:val="center"/>
              <w:rPr>
                <w:rFonts w:hint="eastAsia" w:ascii="宋体" w:hAnsi="宋体"/>
                <w:snapToGrid w:val="0"/>
                <w:kern w:val="0"/>
                <w:sz w:val="24"/>
              </w:rPr>
            </w:pPr>
            <w:r>
              <w:rPr>
                <w:rFonts w:hint="eastAsia" w:ascii="宋体" w:hAnsi="宋体"/>
                <w:snapToGrid w:val="0"/>
                <w:kern w:val="0"/>
                <w:sz w:val="24"/>
              </w:rPr>
              <w:t>联系方式</w:t>
            </w:r>
          </w:p>
        </w:tc>
        <w:tc>
          <w:tcPr>
            <w:tcW w:w="8921" w:type="dxa"/>
            <w:gridSpan w:val="6"/>
            <w:tcBorders>
              <w:top w:val="single" w:color="auto" w:sz="4" w:space="0"/>
              <w:left w:val="single" w:color="auto" w:sz="4" w:space="0"/>
              <w:bottom w:val="single" w:color="auto" w:sz="8" w:space="0"/>
              <w:right w:val="single" w:color="auto" w:sz="8" w:space="0"/>
            </w:tcBorders>
            <w:vAlign w:val="center"/>
          </w:tcPr>
          <w:p w14:paraId="082A170C">
            <w:pPr>
              <w:rPr>
                <w:rFonts w:hint="eastAsia" w:ascii="宋体" w:hAnsi="宋体"/>
                <w:sz w:val="24"/>
              </w:rPr>
            </w:pPr>
            <w:r>
              <w:rPr>
                <w:rFonts w:hint="eastAsia" w:ascii="宋体" w:hAnsi="宋体"/>
                <w:sz w:val="24"/>
              </w:rPr>
              <w:t>招标人或其代理机构：</w:t>
            </w:r>
          </w:p>
          <w:p w14:paraId="5DFA8BD0">
            <w:pPr>
              <w:rPr>
                <w:rFonts w:hint="eastAsia" w:ascii="宋体" w:hAnsi="宋体"/>
                <w:sz w:val="24"/>
              </w:rPr>
            </w:pPr>
            <w:r>
              <w:rPr>
                <w:rFonts w:hint="eastAsia" w:ascii="宋体" w:hAnsi="宋体"/>
                <w:sz w:val="24"/>
              </w:rPr>
              <w:t>地址：</w:t>
            </w:r>
          </w:p>
          <w:p w14:paraId="6C2D7951">
            <w:pPr>
              <w:rPr>
                <w:rFonts w:hint="eastAsia" w:ascii="宋体" w:hAnsi="宋体"/>
                <w:sz w:val="24"/>
              </w:rPr>
            </w:pPr>
            <w:r>
              <w:rPr>
                <w:rFonts w:hint="eastAsia" w:ascii="宋体" w:hAnsi="宋体"/>
                <w:sz w:val="24"/>
              </w:rPr>
              <w:t>电话：       联系人：</w:t>
            </w:r>
            <w:bookmarkStart w:id="552" w:name="_GoBack"/>
            <w:bookmarkEnd w:id="552"/>
          </w:p>
        </w:tc>
      </w:tr>
    </w:tbl>
    <w:p w14:paraId="0E5F75BC"/>
    <w:p w14:paraId="20660847">
      <w:pPr>
        <w:jc w:val="center"/>
        <w:rPr>
          <w:rFonts w:hint="eastAsia" w:cs="楷体_GB2312" w:asciiTheme="minorEastAsia" w:hAnsiTheme="minorEastAsia" w:eastAsiaTheme="minorEastAsia"/>
          <w:b/>
          <w:snapToGrid w:val="0"/>
          <w:sz w:val="28"/>
          <w:szCs w:val="28"/>
        </w:rPr>
      </w:pPr>
      <w:r>
        <w:br w:type="page"/>
      </w:r>
      <w:bookmarkEnd w:id="0"/>
      <w:bookmarkEnd w:id="1"/>
      <w:bookmarkStart w:id="9" w:name="_Toc109524869"/>
      <w:bookmarkStart w:id="10" w:name="_Toc109525035"/>
      <w:r>
        <w:rPr>
          <w:rFonts w:hint="eastAsia" w:cs="楷体_GB2312" w:asciiTheme="minorEastAsia" w:hAnsiTheme="minorEastAsia" w:eastAsiaTheme="minorEastAsia"/>
          <w:b/>
          <w:snapToGrid w:val="0"/>
          <w:sz w:val="28"/>
          <w:szCs w:val="28"/>
        </w:rPr>
        <w:t>一、总 则</w:t>
      </w:r>
    </w:p>
    <w:p w14:paraId="72C73375">
      <w:pPr>
        <w:adjustRightInd w:val="0"/>
        <w:snapToGrid w:val="0"/>
        <w:spacing w:line="360" w:lineRule="auto"/>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（一）招标项目</w:t>
      </w:r>
    </w:p>
    <w:p w14:paraId="7B4A76CA">
      <w:pPr>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、工程名称</w:t>
      </w:r>
    </w:p>
    <w:p w14:paraId="13B9F986">
      <w:pPr>
        <w:spacing w:line="360" w:lineRule="auto"/>
        <w:ind w:firstLine="480" w:firstLineChars="200"/>
        <w:rPr>
          <w:rFonts w:hint="eastAsia" w:ascii="宋体" w:hAnsi="宋体"/>
          <w:sz w:val="24"/>
          <w:szCs w:val="24"/>
        </w:rPr>
      </w:pPr>
      <w:r>
        <w:rPr>
          <w:rFonts w:hint="eastAsia" w:ascii="宋体" w:hAnsi="宋体"/>
          <w:sz w:val="24"/>
          <w:szCs w:val="24"/>
        </w:rPr>
        <w:t>鸿益千秋小区监控系统升级改造项目</w:t>
      </w:r>
    </w:p>
    <w:p w14:paraId="572B4FE4">
      <w:pPr>
        <w:spacing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、招标范围</w:t>
      </w:r>
    </w:p>
    <w:p w14:paraId="5D95930F">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图纸及工程量清单范围内鸿益千秋小区监控系统升级改造项目全部内容。</w:t>
      </w:r>
    </w:p>
    <w:p w14:paraId="7CE6C7C0">
      <w:pPr>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、工程资金来源及落实情况：财政、已落实。</w:t>
      </w:r>
    </w:p>
    <w:p w14:paraId="6B7CB4A6">
      <w:pPr>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、本工程采用邀请招标方式。</w:t>
      </w:r>
    </w:p>
    <w:p w14:paraId="39D6D78A">
      <w:pPr>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、投标人报名条件：</w:t>
      </w:r>
    </w:p>
    <w:p w14:paraId="7D0524B9">
      <w:pPr>
        <w:spacing w:line="360" w:lineRule="auto"/>
        <w:ind w:firstLine="480" w:firstLineChars="200"/>
        <w:rPr>
          <w:rFonts w:hint="eastAsia" w:ascii="宋体" w:hAnsi="宋体" w:cs="宋体"/>
          <w:sz w:val="24"/>
          <w:szCs w:val="24"/>
        </w:rPr>
      </w:pPr>
      <w:r>
        <w:rPr>
          <w:rFonts w:hint="eastAsia" w:ascii="宋体" w:hAnsi="宋体" w:cs="宋体"/>
          <w:sz w:val="24"/>
          <w:szCs w:val="24"/>
        </w:rPr>
        <w:t>详见前附表</w:t>
      </w:r>
    </w:p>
    <w:p w14:paraId="6B291F88">
      <w:pPr>
        <w:spacing w:line="360" w:lineRule="auto"/>
        <w:ind w:firstLine="480" w:firstLineChars="200"/>
        <w:rPr>
          <w:rFonts w:hint="eastAsia" w:ascii="宋体" w:hAnsi="宋体" w:cs="宋体"/>
          <w:sz w:val="24"/>
          <w:szCs w:val="24"/>
        </w:rPr>
      </w:pPr>
      <w:r>
        <w:rPr>
          <w:rFonts w:hint="eastAsia" w:ascii="宋体" w:hAnsi="宋体" w:cs="宋体"/>
          <w:sz w:val="24"/>
          <w:szCs w:val="24"/>
        </w:rPr>
        <w:t>6、投标费用</w:t>
      </w:r>
    </w:p>
    <w:p w14:paraId="778B17BA">
      <w:pPr>
        <w:adjustRightInd w:val="0"/>
        <w:snapToGrid w:val="0"/>
        <w:spacing w:line="360" w:lineRule="auto"/>
        <w:ind w:firstLine="56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1）招标文件售出后,概不退还，投标人应承担其编制投标文件与递交投标文件所涉及的一切费用。不管投标结果如何，招标人对上述费用不负任何责任。</w:t>
      </w:r>
    </w:p>
    <w:p w14:paraId="4406AFD7">
      <w:pPr>
        <w:adjustRightInd w:val="0"/>
        <w:snapToGrid w:val="0"/>
        <w:spacing w:line="360" w:lineRule="auto"/>
        <w:ind w:firstLine="560"/>
        <w:rPr>
          <w:rFonts w:hint="eastAsia" w:cs="楷体_GB2312" w:asciiTheme="minorEastAsia" w:hAnsiTheme="minorEastAsia" w:eastAsiaTheme="minorEastAsia"/>
          <w:b/>
          <w:bCs/>
          <w:snapToGrid w:val="0"/>
          <w:sz w:val="24"/>
          <w:szCs w:val="24"/>
          <w:highlight w:val="yellow"/>
        </w:rPr>
      </w:pPr>
    </w:p>
    <w:p w14:paraId="193B95C3">
      <w:pPr>
        <w:adjustRightInd w:val="0"/>
        <w:snapToGrid w:val="0"/>
        <w:spacing w:line="360" w:lineRule="auto"/>
        <w:ind w:firstLine="560"/>
        <w:rPr>
          <w:rFonts w:hint="eastAsia" w:cs="宋体" w:asciiTheme="minorEastAsia" w:hAnsiTheme="minorEastAsia" w:eastAsiaTheme="minorEastAsia"/>
          <w:kern w:val="0"/>
          <w:sz w:val="24"/>
          <w:szCs w:val="24"/>
        </w:rPr>
      </w:pPr>
    </w:p>
    <w:p w14:paraId="3AE69868">
      <w:pPr>
        <w:adjustRightInd w:val="0"/>
        <w:snapToGrid w:val="0"/>
        <w:spacing w:line="360" w:lineRule="auto"/>
        <w:jc w:val="center"/>
        <w:rPr>
          <w:rFonts w:hint="eastAsia" w:asciiTheme="minorEastAsia" w:hAnsiTheme="minorEastAsia" w:eastAsiaTheme="minorEastAsia"/>
          <w:b/>
          <w:bCs/>
          <w:snapToGrid w:val="0"/>
          <w:sz w:val="28"/>
          <w:szCs w:val="28"/>
        </w:rPr>
      </w:pPr>
      <w:r>
        <w:rPr>
          <w:rFonts w:cs="楷体_GB2312" w:asciiTheme="minorEastAsia" w:hAnsiTheme="minorEastAsia" w:eastAsiaTheme="minorEastAsia"/>
          <w:b/>
          <w:bCs/>
          <w:snapToGrid w:val="0"/>
          <w:sz w:val="28"/>
          <w:szCs w:val="28"/>
        </w:rPr>
        <w:br w:type="page"/>
      </w:r>
      <w:r>
        <w:rPr>
          <w:rFonts w:hint="eastAsia" w:cs="楷体_GB2312" w:asciiTheme="minorEastAsia" w:hAnsiTheme="minorEastAsia" w:eastAsiaTheme="minorEastAsia"/>
          <w:b/>
          <w:bCs/>
          <w:snapToGrid w:val="0"/>
          <w:sz w:val="28"/>
          <w:szCs w:val="28"/>
        </w:rPr>
        <w:t>二、招标文件</w:t>
      </w:r>
    </w:p>
    <w:p w14:paraId="22B098AC">
      <w:pPr>
        <w:adjustRightInd w:val="0"/>
        <w:snapToGrid w:val="0"/>
        <w:spacing w:line="360" w:lineRule="auto"/>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（一）招标文件的组成</w:t>
      </w:r>
    </w:p>
    <w:p w14:paraId="1CF70231">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1、招标文件包括以下文件：</w:t>
      </w:r>
    </w:p>
    <w:p w14:paraId="2273D858">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1）投标须知</w:t>
      </w:r>
    </w:p>
    <w:p w14:paraId="06188B0C">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2）合同主要条款</w:t>
      </w:r>
    </w:p>
    <w:p w14:paraId="28FBA0D5">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3）工程量清单及招标人预算书（另附）</w:t>
      </w:r>
    </w:p>
    <w:p w14:paraId="755ADA69">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4）</w:t>
      </w:r>
      <w:r>
        <w:rPr>
          <w:rFonts w:hint="eastAsia" w:ascii="宋体" w:hAnsi="宋体"/>
          <w:sz w:val="24"/>
        </w:rPr>
        <w:t>图纸和其他资料（另附）</w:t>
      </w:r>
    </w:p>
    <w:p w14:paraId="31408523">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5）</w:t>
      </w:r>
      <w:r>
        <w:rPr>
          <w:rFonts w:hint="eastAsia" w:ascii="宋体" w:hAnsi="宋体"/>
          <w:sz w:val="24"/>
        </w:rPr>
        <w:t>技术规范及要求（另附）</w:t>
      </w:r>
    </w:p>
    <w:p w14:paraId="4768CB64">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6）投标文件格式</w:t>
      </w:r>
    </w:p>
    <w:p w14:paraId="36863EFA">
      <w:pPr>
        <w:tabs>
          <w:tab w:val="left" w:pos="851"/>
        </w:tabs>
        <w:adjustRightInd w:val="0"/>
        <w:snapToGrid w:val="0"/>
        <w:spacing w:line="360" w:lineRule="auto"/>
        <w:ind w:left="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7）所有投标期间发出的补充通知</w:t>
      </w:r>
    </w:p>
    <w:p w14:paraId="5B82D2B9">
      <w:pPr>
        <w:tabs>
          <w:tab w:val="left" w:pos="851"/>
        </w:tabs>
        <w:adjustRightInd w:val="0"/>
        <w:snapToGrid w:val="0"/>
        <w:spacing w:line="360" w:lineRule="auto"/>
        <w:ind w:firstLine="480" w:firstLineChars="200"/>
        <w:jc w:val="left"/>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2、投标人应认真审阅招标文件所有的内容，如果投标人的投标文件不能实质性地响应招标文件要求，责任由投标人自负。</w:t>
      </w:r>
    </w:p>
    <w:p w14:paraId="32473BE1">
      <w:pPr>
        <w:tabs>
          <w:tab w:val="left" w:pos="0"/>
          <w:tab w:val="left" w:pos="993"/>
          <w:tab w:val="left" w:pos="1134"/>
        </w:tabs>
        <w:adjustRightInd w:val="0"/>
        <w:snapToGrid w:val="0"/>
        <w:spacing w:line="360" w:lineRule="auto"/>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（二）招标文件的澄清</w:t>
      </w:r>
    </w:p>
    <w:p w14:paraId="67BA9D24">
      <w:pPr>
        <w:tabs>
          <w:tab w:val="left" w:pos="0"/>
          <w:tab w:val="left" w:pos="993"/>
          <w:tab w:val="left" w:pos="1134"/>
        </w:tabs>
        <w:adjustRightInd w:val="0"/>
        <w:snapToGrid w:val="0"/>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投标人如有疑问请于2025年7月25日上午11:00时以书面盖章形式提交至江苏志诚工程咨询管理有限公司，地点：</w:t>
      </w:r>
      <w:r>
        <w:rPr>
          <w:rFonts w:hint="eastAsia" w:ascii="宋体" w:hAnsi="宋体"/>
          <w:sz w:val="24"/>
        </w:rPr>
        <w:t>扬州市江都区浦江路38号工商银行上5楼开标室</w:t>
      </w:r>
      <w:r>
        <w:rPr>
          <w:rFonts w:hint="eastAsia" w:cs="楷体_GB2312" w:asciiTheme="minorEastAsia" w:hAnsiTheme="minorEastAsia" w:eastAsiaTheme="minorEastAsia"/>
          <w:snapToGrid w:val="0"/>
          <w:sz w:val="24"/>
          <w:szCs w:val="24"/>
        </w:rPr>
        <w:t>，逾时将视为无异议且不再接受答疑文件。所有疑问将在2025年7月25日下午17:00前以书面形式发放给所有投标单位。</w:t>
      </w:r>
    </w:p>
    <w:p w14:paraId="72918307">
      <w:pPr>
        <w:tabs>
          <w:tab w:val="left" w:pos="0"/>
          <w:tab w:val="left" w:pos="993"/>
          <w:tab w:val="left" w:pos="1134"/>
        </w:tabs>
        <w:adjustRightInd w:val="0"/>
        <w:snapToGrid w:val="0"/>
        <w:spacing w:line="360" w:lineRule="auto"/>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（三）招标文件的修改</w:t>
      </w:r>
    </w:p>
    <w:p w14:paraId="1CC3710F">
      <w:pPr>
        <w:tabs>
          <w:tab w:val="left" w:pos="0"/>
          <w:tab w:val="left" w:pos="993"/>
          <w:tab w:val="left" w:pos="1134"/>
        </w:tabs>
        <w:adjustRightInd w:val="0"/>
        <w:snapToGrid w:val="0"/>
        <w:spacing w:line="360" w:lineRule="auto"/>
        <w:ind w:firstLine="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1、在投标截止日期 3 天前，招标人都可能修改招标文件。修改通知将以书面形式通知投标人，修改通知作为招标文件的组成部分，对投标人起同等约束作用。</w:t>
      </w:r>
    </w:p>
    <w:p w14:paraId="0D96F000">
      <w:pPr>
        <w:tabs>
          <w:tab w:val="left" w:pos="0"/>
          <w:tab w:val="left" w:pos="993"/>
          <w:tab w:val="left" w:pos="1134"/>
        </w:tabs>
        <w:adjustRightInd w:val="0"/>
        <w:snapToGrid w:val="0"/>
        <w:spacing w:line="360" w:lineRule="auto"/>
        <w:ind w:firstLine="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2、为使投标人在编制投标文件时把修改通知内容考虑进去，招标人可以酌情延长递交投标文件的截止日期，具体时间将在修改通知中写明。</w:t>
      </w:r>
    </w:p>
    <w:p w14:paraId="575BB224">
      <w:pPr>
        <w:tabs>
          <w:tab w:val="left" w:pos="0"/>
          <w:tab w:val="left" w:pos="993"/>
          <w:tab w:val="left" w:pos="1134"/>
        </w:tabs>
        <w:adjustRightInd w:val="0"/>
        <w:snapToGrid w:val="0"/>
        <w:spacing w:line="360" w:lineRule="auto"/>
        <w:ind w:firstLine="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3、当招标文件、修改通知内容相互矛盾时，以最后发出的通知为准。</w:t>
      </w:r>
    </w:p>
    <w:p w14:paraId="2820B643">
      <w:pPr>
        <w:adjustRightInd w:val="0"/>
        <w:snapToGrid w:val="0"/>
        <w:spacing w:line="360" w:lineRule="auto"/>
        <w:jc w:val="center"/>
        <w:rPr>
          <w:rFonts w:hint="eastAsia" w:cs="楷体_GB2312" w:asciiTheme="minorEastAsia" w:hAnsiTheme="minorEastAsia" w:eastAsiaTheme="minorEastAsia"/>
          <w:b/>
          <w:bCs/>
          <w:snapToGrid w:val="0"/>
          <w:sz w:val="28"/>
          <w:szCs w:val="28"/>
        </w:rPr>
      </w:pPr>
    </w:p>
    <w:p w14:paraId="2F4EAB07">
      <w:pPr>
        <w:adjustRightInd w:val="0"/>
        <w:snapToGrid w:val="0"/>
        <w:spacing w:line="360" w:lineRule="auto"/>
        <w:jc w:val="center"/>
        <w:rPr>
          <w:rFonts w:hint="eastAsia" w:asciiTheme="minorEastAsia" w:hAnsiTheme="minorEastAsia" w:eastAsiaTheme="minorEastAsia"/>
          <w:b/>
          <w:bCs/>
          <w:snapToGrid w:val="0"/>
          <w:sz w:val="28"/>
          <w:szCs w:val="28"/>
        </w:rPr>
      </w:pPr>
      <w:r>
        <w:rPr>
          <w:rFonts w:hint="eastAsia" w:cs="楷体_GB2312" w:asciiTheme="minorEastAsia" w:hAnsiTheme="minorEastAsia" w:eastAsiaTheme="minorEastAsia"/>
          <w:b/>
          <w:bCs/>
          <w:snapToGrid w:val="0"/>
          <w:sz w:val="28"/>
          <w:szCs w:val="28"/>
        </w:rPr>
        <w:t>三、投标报价</w:t>
      </w:r>
    </w:p>
    <w:p w14:paraId="34746A09">
      <w:pPr>
        <w:tabs>
          <w:tab w:val="left" w:pos="0"/>
          <w:tab w:val="left" w:pos="993"/>
          <w:tab w:val="left" w:pos="1134"/>
        </w:tabs>
        <w:spacing w:line="360" w:lineRule="auto"/>
        <w:rPr>
          <w:rFonts w:hint="eastAsia" w:ascii="宋体" w:hAnsi="宋体" w:cs="Arial"/>
          <w:snapToGrid w:val="0"/>
          <w:sz w:val="24"/>
        </w:rPr>
      </w:pPr>
      <w:r>
        <w:rPr>
          <w:rFonts w:hint="eastAsia" w:ascii="宋体" w:hAnsi="宋体" w:cs="Arial"/>
          <w:snapToGrid w:val="0"/>
          <w:sz w:val="24"/>
        </w:rPr>
        <w:t>（一）工程量清单</w:t>
      </w:r>
    </w:p>
    <w:p w14:paraId="7C32AB8C">
      <w:pPr>
        <w:tabs>
          <w:tab w:val="left" w:pos="0"/>
          <w:tab w:val="left" w:pos="993"/>
          <w:tab w:val="left" w:pos="1134"/>
        </w:tabs>
        <w:spacing w:line="360" w:lineRule="auto"/>
        <w:ind w:firstLine="480" w:firstLineChars="200"/>
        <w:rPr>
          <w:rFonts w:hint="eastAsia" w:ascii="宋体" w:hAnsi="宋体" w:cs="Arial"/>
          <w:snapToGrid w:val="0"/>
          <w:sz w:val="24"/>
        </w:rPr>
      </w:pPr>
      <w:r>
        <w:rPr>
          <w:rFonts w:ascii="宋体" w:hAnsi="宋体"/>
          <w:snapToGrid w:val="0"/>
          <w:sz w:val="24"/>
        </w:rPr>
        <w:t>1</w:t>
      </w:r>
      <w:r>
        <w:rPr>
          <w:rFonts w:hint="eastAsia" w:ascii="宋体" w:hAnsi="宋体"/>
          <w:snapToGrid w:val="0"/>
          <w:sz w:val="24"/>
        </w:rPr>
        <w:t>、</w:t>
      </w:r>
      <w:r>
        <w:rPr>
          <w:rFonts w:hint="eastAsia" w:ascii="宋体" w:hAnsi="宋体" w:cs="Arial"/>
          <w:snapToGrid w:val="0"/>
          <w:sz w:val="24"/>
        </w:rPr>
        <w:t>招标人发放的工程量清单应与投标须知、合同条款、技术规范、规划图、施工图纸等文件结合起来查阅与理解并一起使用。投标人在投标中须对工程量清单中所列的工作内容及其工程量，依据招标文件规定的承包范围、内容及合同规定的义务包括施工图纸进行校对，工程量清单中的任何不清楚和工作内容及工程量清单中存在有任何划分项目误差、计量单位误差、计算的数量误差、遗漏项目等均须在招标文件规定的时间内向招标人提出异议或修正要求。招标人如认为要求合理，将对其工程项目或工程量进行修正</w:t>
      </w:r>
      <w:r>
        <w:rPr>
          <w:rFonts w:ascii="宋体" w:hAnsi="宋体"/>
          <w:snapToGrid w:val="0"/>
          <w:sz w:val="24"/>
        </w:rPr>
        <w:t>,</w:t>
      </w:r>
      <w:r>
        <w:rPr>
          <w:rFonts w:hint="eastAsia" w:ascii="宋体" w:hAnsi="宋体" w:cs="Arial"/>
          <w:snapToGrid w:val="0"/>
          <w:sz w:val="24"/>
        </w:rPr>
        <w:t>修正的工程量清单发给所有投标人作为投标报价的依据。</w:t>
      </w:r>
    </w:p>
    <w:p w14:paraId="5EAB1B0C">
      <w:pPr>
        <w:tabs>
          <w:tab w:val="left" w:pos="0"/>
          <w:tab w:val="left" w:pos="993"/>
          <w:tab w:val="left" w:pos="1134"/>
        </w:tabs>
        <w:spacing w:line="360" w:lineRule="auto"/>
        <w:ind w:firstLine="480" w:firstLineChars="200"/>
        <w:rPr>
          <w:rFonts w:hint="eastAsia" w:ascii="宋体" w:hAnsi="宋体" w:cs="Arial"/>
          <w:snapToGrid w:val="0"/>
          <w:sz w:val="24"/>
        </w:rPr>
      </w:pPr>
      <w:r>
        <w:rPr>
          <w:rFonts w:hint="eastAsia" w:ascii="宋体" w:hAnsi="宋体"/>
          <w:snapToGrid w:val="0"/>
          <w:sz w:val="24"/>
        </w:rPr>
        <w:t>2、</w:t>
      </w:r>
      <w:r>
        <w:rPr>
          <w:rFonts w:hint="eastAsia" w:ascii="宋体" w:hAnsi="宋体" w:cs="Arial"/>
          <w:snapToGrid w:val="0"/>
          <w:sz w:val="24"/>
        </w:rPr>
        <w:t>投标人对招标人的工程量清单未复核或未提出异议的，应视为对招标人工程量清单的认可。</w:t>
      </w:r>
    </w:p>
    <w:p w14:paraId="0AB094C9">
      <w:pPr>
        <w:tabs>
          <w:tab w:val="left" w:pos="0"/>
          <w:tab w:val="left" w:pos="993"/>
          <w:tab w:val="left" w:pos="1134"/>
        </w:tabs>
        <w:spacing w:line="360" w:lineRule="auto"/>
        <w:ind w:firstLine="480" w:firstLineChars="200"/>
        <w:rPr>
          <w:rFonts w:hint="eastAsia" w:ascii="宋体" w:hAnsi="宋体"/>
          <w:sz w:val="24"/>
        </w:rPr>
      </w:pPr>
      <w:r>
        <w:rPr>
          <w:rFonts w:hint="eastAsia" w:ascii="宋体" w:hAnsi="宋体" w:cs="Arial"/>
          <w:snapToGrid w:val="0"/>
          <w:sz w:val="24"/>
        </w:rPr>
        <w:t>3、</w:t>
      </w:r>
      <w:r>
        <w:rPr>
          <w:rFonts w:hint="eastAsia" w:ascii="宋体" w:hAnsi="宋体"/>
          <w:snapToGrid w:val="0"/>
          <w:sz w:val="24"/>
        </w:rPr>
        <w:t>对招标人复核过的工程量清单，投标人仍有异议的，将在扬州市造价管理部门的主持下进行工程量清单会审。</w:t>
      </w:r>
    </w:p>
    <w:p w14:paraId="3BF4369C">
      <w:pPr>
        <w:spacing w:line="360" w:lineRule="auto"/>
        <w:ind w:firstLine="480"/>
        <w:rPr>
          <w:rFonts w:hint="eastAsia" w:ascii="宋体" w:hAnsi="宋体" w:cs="Arial"/>
          <w:bCs/>
          <w:snapToGrid w:val="0"/>
          <w:sz w:val="24"/>
        </w:rPr>
      </w:pPr>
      <w:r>
        <w:rPr>
          <w:rFonts w:hint="eastAsia" w:ascii="宋体" w:hAnsi="宋体" w:cs="Arial"/>
          <w:bCs/>
          <w:snapToGrid w:val="0"/>
          <w:sz w:val="24"/>
        </w:rPr>
        <w:t>4、投标人不能仅根据工程量清单所述数量及尺寸而不参考图纸或不进行实地度量进行投标报价，投标人因未进行上述核对，提出异议或修正要求的，招标人概不接收。</w:t>
      </w:r>
    </w:p>
    <w:p w14:paraId="517CF3E8">
      <w:pPr>
        <w:spacing w:line="360" w:lineRule="auto"/>
        <w:ind w:firstLine="480"/>
        <w:rPr>
          <w:rFonts w:hint="eastAsia" w:ascii="宋体" w:hAnsi="宋体" w:cs="Arial"/>
          <w:bCs/>
          <w:snapToGrid w:val="0"/>
          <w:sz w:val="24"/>
        </w:rPr>
      </w:pPr>
      <w:r>
        <w:rPr>
          <w:rFonts w:hint="eastAsia" w:ascii="宋体" w:hAnsi="宋体" w:cs="Arial"/>
          <w:bCs/>
          <w:snapToGrid w:val="0"/>
          <w:sz w:val="24"/>
        </w:rPr>
        <w:t>5、投标人应核对工程量清单中工作内容和施工做法与施工图是否一致，</w:t>
      </w:r>
      <w:r>
        <w:rPr>
          <w:rFonts w:hint="eastAsia" w:ascii="宋体" w:hAnsi="宋体" w:cs="Arial"/>
          <w:snapToGrid w:val="0"/>
          <w:sz w:val="24"/>
        </w:rPr>
        <w:t>须在招标文件规定的时间内向招标人提出书面异议或修正要求。</w:t>
      </w:r>
      <w:r>
        <w:rPr>
          <w:rFonts w:hint="eastAsia" w:ascii="宋体" w:hAnsi="宋体" w:cs="Arial"/>
          <w:bCs/>
          <w:snapToGrid w:val="0"/>
          <w:sz w:val="24"/>
        </w:rPr>
        <w:t>投标人因未进行上述核对，提出异议或修正要求的，施工过程中由招标人确定具体工作内容和施工做法，合同价款不做调整。</w:t>
      </w:r>
    </w:p>
    <w:p w14:paraId="40A07C27">
      <w:pPr>
        <w:tabs>
          <w:tab w:val="left" w:pos="0"/>
          <w:tab w:val="left" w:pos="993"/>
          <w:tab w:val="left" w:pos="1134"/>
        </w:tabs>
        <w:spacing w:line="360" w:lineRule="auto"/>
        <w:rPr>
          <w:rFonts w:hint="eastAsia" w:asciiTheme="minorEastAsia" w:hAnsiTheme="minorEastAsia" w:eastAsiaTheme="minorEastAsia"/>
          <w:snapToGrid w:val="0"/>
          <w:sz w:val="24"/>
          <w:szCs w:val="24"/>
        </w:rPr>
      </w:pPr>
      <w:r>
        <w:rPr>
          <w:rFonts w:hint="eastAsia" w:ascii="宋体" w:hAnsi="宋体" w:cs="Arial"/>
          <w:snapToGrid w:val="0"/>
          <w:sz w:val="24"/>
        </w:rPr>
        <w:t>（二）投标报价</w:t>
      </w:r>
    </w:p>
    <w:p w14:paraId="06F3BBA6">
      <w:pPr>
        <w:widowControl/>
        <w:tabs>
          <w:tab w:val="left" w:pos="0"/>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1、投标报价应是招标文件所确定的招标范围内相应设计图纸及相关资料的全部工作内容的价格体现。包括施工设备、劳务、管理、材料、安装、维护、利润、税金及政策性文件规定的各项应有费用等。</w:t>
      </w:r>
    </w:p>
    <w:p w14:paraId="61875DCC">
      <w:pPr>
        <w:widowControl/>
        <w:tabs>
          <w:tab w:val="left" w:pos="0"/>
          <w:tab w:val="left" w:pos="1134"/>
        </w:tabs>
        <w:spacing w:line="360" w:lineRule="auto"/>
        <w:ind w:firstLine="480" w:firstLineChars="200"/>
        <w:rPr>
          <w:rFonts w:hint="eastAsia" w:ascii="宋体" w:hAnsi="宋体"/>
          <w:snapToGrid w:val="0"/>
          <w:sz w:val="24"/>
        </w:rPr>
      </w:pPr>
      <w:r>
        <w:rPr>
          <w:rFonts w:hint="eastAsia" w:ascii="宋体" w:hAnsi="宋体" w:cs="Arial"/>
          <w:snapToGrid w:val="0"/>
          <w:sz w:val="24"/>
        </w:rPr>
        <w:t>2、投标人应当根据本企业的具体经营技术、装备水平、管理水平、市场价格信息，视工程的实际情况自主确定人工费、材料费、机械使用费、管理费、利润和风险，按省市有关规定计取规费和税金，进行投标报价，且不得低于企业成本。</w:t>
      </w:r>
    </w:p>
    <w:p w14:paraId="4F712C0B">
      <w:pPr>
        <w:widowControl/>
        <w:tabs>
          <w:tab w:val="left" w:pos="0"/>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3、投标报价按综合单价法计价。投标报价应包括按招标文件规定完成工程所需的全部费用，包括：分部分项工程费、措施费、其他项目费和规费、税金；分部分项工程所发生的人工费、材料费、机械费、主材费、管理费、利润以及所有风险、责任等各项费用。</w:t>
      </w:r>
    </w:p>
    <w:p w14:paraId="6C8A3883">
      <w:pPr>
        <w:widowControl/>
        <w:tabs>
          <w:tab w:val="left" w:pos="0"/>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4、投标文件不得改变或者遗漏工程量清单中的项目名称、计量单位、工程数量。</w:t>
      </w:r>
    </w:p>
    <w:p w14:paraId="4B6A425C">
      <w:pPr>
        <w:spacing w:line="360" w:lineRule="auto"/>
        <w:ind w:firstLine="480" w:firstLineChars="200"/>
        <w:rPr>
          <w:rFonts w:hint="eastAsia" w:ascii="宋体" w:hAnsi="宋体"/>
          <w:sz w:val="24"/>
        </w:rPr>
      </w:pPr>
      <w:r>
        <w:rPr>
          <w:rFonts w:hint="eastAsia" w:ascii="宋体" w:hAnsi="宋体"/>
          <w:sz w:val="24"/>
        </w:rPr>
        <w:t>5、投标书附件即工程报价单上没有填入单价或总额价的分项工程，其费用将视为已分配在工程报价单的其他单价和总额价中，承包人必须按监理工程师指令完成工程报价单中未填入单价或总额价的工程量，但不能得到结算与支付；</w:t>
      </w:r>
    </w:p>
    <w:p w14:paraId="58E4015D">
      <w:pPr>
        <w:spacing w:line="360" w:lineRule="auto"/>
        <w:ind w:firstLine="480" w:firstLineChars="200"/>
        <w:rPr>
          <w:rFonts w:hint="eastAsia" w:ascii="宋体" w:hAnsi="宋体"/>
          <w:sz w:val="24"/>
        </w:rPr>
      </w:pPr>
      <w:r>
        <w:rPr>
          <w:rFonts w:hint="eastAsia" w:ascii="宋体" w:hAnsi="宋体"/>
          <w:sz w:val="24"/>
        </w:rPr>
        <w:t>6、对于符合要求的投标书,在签订合同协议书前，如发生工程报价单中有计算和汇总方面的算术错误，按招标文件有关条文规定修正；</w:t>
      </w:r>
    </w:p>
    <w:p w14:paraId="720ED58B">
      <w:pPr>
        <w:tabs>
          <w:tab w:val="left" w:pos="0"/>
          <w:tab w:val="left" w:pos="993"/>
          <w:tab w:val="left" w:pos="1134"/>
        </w:tabs>
        <w:spacing w:line="360" w:lineRule="auto"/>
        <w:ind w:firstLine="480" w:firstLineChars="200"/>
        <w:rPr>
          <w:rFonts w:hint="eastAsia" w:ascii="宋体" w:hAnsi="宋体"/>
          <w:sz w:val="24"/>
        </w:rPr>
      </w:pPr>
      <w:r>
        <w:rPr>
          <w:rFonts w:hint="eastAsia" w:ascii="宋体" w:hAnsi="宋体"/>
          <w:sz w:val="24"/>
        </w:rPr>
        <w:t>7、投标人用于本合同中工程的各类装备的提供、运输、维护、拆卸、拼装等支付费用，已包括在工程报价单的单价与总价之中；</w:t>
      </w:r>
    </w:p>
    <w:p w14:paraId="1121F6AB">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z w:val="24"/>
        </w:rPr>
        <w:t>8、</w:t>
      </w:r>
      <w:r>
        <w:rPr>
          <w:rFonts w:hint="eastAsia" w:ascii="宋体" w:hAnsi="宋体"/>
          <w:snapToGrid w:val="0"/>
          <w:sz w:val="24"/>
        </w:rPr>
        <w:t>报价人应对清单中的每一个项目进行报价（包括综合单价及合价），如漏报或少报项目，则视为其费用已含在其他项目的综合单价或合价中，结算时不再增加。</w:t>
      </w:r>
    </w:p>
    <w:p w14:paraId="7527CE17">
      <w:pPr>
        <w:widowControl/>
        <w:tabs>
          <w:tab w:val="left" w:pos="0"/>
          <w:tab w:val="left" w:pos="1134"/>
        </w:tabs>
        <w:spacing w:line="360" w:lineRule="auto"/>
        <w:ind w:left="-4" w:leftChars="-2" w:firstLine="480" w:firstLineChars="200"/>
        <w:rPr>
          <w:rFonts w:hint="eastAsia" w:ascii="宋体" w:hAnsi="宋体"/>
          <w:snapToGrid w:val="0"/>
          <w:sz w:val="24"/>
        </w:rPr>
      </w:pPr>
      <w:r>
        <w:rPr>
          <w:rFonts w:hint="eastAsia" w:ascii="宋体" w:hAnsi="宋体"/>
          <w:snapToGrid w:val="0"/>
          <w:sz w:val="24"/>
        </w:rPr>
        <w:t>9、投标文件不得改变或遗漏招标文件中规定的招标人自行采购的设备材料费用、预留金。投标文件必须响应招标人指定的材料规格或者型号等特殊要求，按照招标人提供的主要材料清单逐项注明材料生产厂家、产地、品牌及投标报价，投标人未注明生产厂家、产地、品牌的材料，一旦中标，则必须使用招标人认可的产品、价格。</w:t>
      </w:r>
    </w:p>
    <w:p w14:paraId="50BA9C13">
      <w:pPr>
        <w:tabs>
          <w:tab w:val="left" w:pos="0"/>
          <w:tab w:val="left" w:pos="993"/>
          <w:tab w:val="left" w:pos="1134"/>
        </w:tabs>
        <w:spacing w:line="360" w:lineRule="auto"/>
        <w:ind w:firstLine="480" w:firstLineChars="200"/>
        <w:rPr>
          <w:rFonts w:hint="eastAsia" w:ascii="宋体" w:hAnsi="宋体" w:cs="Arial"/>
          <w:snapToGrid w:val="0"/>
          <w:sz w:val="24"/>
        </w:rPr>
      </w:pPr>
      <w:r>
        <w:rPr>
          <w:rFonts w:hint="eastAsia" w:ascii="宋体" w:hAnsi="宋体" w:cs="Arial"/>
          <w:snapToGrid w:val="0"/>
          <w:sz w:val="24"/>
        </w:rPr>
        <w:t>10、</w:t>
      </w:r>
      <w:r>
        <w:rPr>
          <w:rFonts w:hint="eastAsia" w:ascii="宋体" w:hAnsi="宋体"/>
          <w:sz w:val="24"/>
        </w:rPr>
        <w:t>投标人除需填写工程报价单之外，还需提供工程材料价格表等辅助资料。</w:t>
      </w:r>
    </w:p>
    <w:p w14:paraId="0D9F079D">
      <w:pPr>
        <w:tabs>
          <w:tab w:val="left" w:pos="0"/>
          <w:tab w:val="left" w:pos="993"/>
          <w:tab w:val="left" w:pos="1134"/>
        </w:tabs>
        <w:spacing w:line="360" w:lineRule="auto"/>
        <w:ind w:firstLine="480" w:firstLineChars="200"/>
        <w:rPr>
          <w:rFonts w:hint="eastAsia" w:ascii="宋体" w:hAnsi="宋体" w:cs="Arial"/>
          <w:snapToGrid w:val="0"/>
          <w:sz w:val="24"/>
        </w:rPr>
      </w:pPr>
      <w:r>
        <w:rPr>
          <w:rFonts w:hint="eastAsia" w:ascii="宋体" w:hAnsi="宋体" w:cs="Arial"/>
          <w:snapToGrid w:val="0"/>
          <w:sz w:val="24"/>
        </w:rPr>
        <w:t>11、投标报价的编制要求</w:t>
      </w:r>
    </w:p>
    <w:p w14:paraId="745F3719">
      <w:pPr>
        <w:tabs>
          <w:tab w:val="left" w:pos="0"/>
          <w:tab w:val="left" w:pos="993"/>
          <w:tab w:val="left" w:pos="1134"/>
        </w:tabs>
        <w:spacing w:line="360" w:lineRule="auto"/>
        <w:ind w:firstLine="480" w:firstLineChars="200"/>
        <w:rPr>
          <w:rFonts w:hint="eastAsia" w:ascii="宋体" w:hAnsi="宋体" w:cs="Arial"/>
          <w:snapToGrid w:val="0"/>
          <w:sz w:val="24"/>
        </w:rPr>
      </w:pPr>
      <w:r>
        <w:rPr>
          <w:rFonts w:hint="eastAsia" w:ascii="宋体" w:hAnsi="宋体" w:cs="Arial"/>
          <w:sz w:val="24"/>
        </w:rPr>
        <w:t>1）</w:t>
      </w:r>
      <w:r>
        <w:rPr>
          <w:rFonts w:hint="eastAsia" w:ascii="宋体" w:hAnsi="宋体" w:cs="Arial"/>
          <w:snapToGrid w:val="0"/>
          <w:sz w:val="24"/>
        </w:rPr>
        <w:t>投标报价是招标文件所确定的招标范围内的全部工作内容的价格体现，包括投标人中标后为完成合同规定的全部工作需支付的一切费用和拟获得的利润，并考虑了应承担的风险；</w:t>
      </w:r>
    </w:p>
    <w:p w14:paraId="0E2BB4BE">
      <w:pPr>
        <w:tabs>
          <w:tab w:val="left" w:pos="0"/>
          <w:tab w:val="left" w:pos="993"/>
          <w:tab w:val="left" w:pos="1134"/>
          <w:tab w:val="left" w:pos="1440"/>
        </w:tabs>
        <w:spacing w:line="360" w:lineRule="auto"/>
        <w:ind w:firstLine="480" w:firstLineChars="200"/>
        <w:rPr>
          <w:rFonts w:hint="eastAsia" w:ascii="宋体" w:hAnsi="宋体" w:cs="Arial"/>
          <w:snapToGrid w:val="0"/>
          <w:sz w:val="24"/>
        </w:rPr>
      </w:pPr>
      <w:r>
        <w:rPr>
          <w:rFonts w:hint="eastAsia" w:ascii="宋体" w:hAnsi="宋体"/>
          <w:snapToGrid w:val="0"/>
          <w:sz w:val="24"/>
        </w:rPr>
        <w:t>2）</w:t>
      </w:r>
      <w:r>
        <w:rPr>
          <w:rFonts w:hint="eastAsia" w:ascii="宋体" w:hAnsi="宋体" w:cs="Arial"/>
          <w:snapToGrid w:val="0"/>
          <w:sz w:val="24"/>
        </w:rPr>
        <w:t>工程量清单计价应采用综合单价计价，综合单价包括完成工程量清单中一个规定计量单位项目所需的人工费、材料费、机械使用费、管理费、利润、规费、税金及其他所有费用，并考虑了风险因素；</w:t>
      </w:r>
    </w:p>
    <w:p w14:paraId="7804B35C">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3)投标人应当根据本企业的具体经营技术、装备水平、管理水平、市场价格信息，视工程的实际情况自主确定人工费、材料费、机械使用费、管理费、利润、规费、税金及其他所有费用和风险；</w:t>
      </w:r>
    </w:p>
    <w:p w14:paraId="56BE62BD">
      <w:pPr>
        <w:pStyle w:val="24"/>
        <w:tabs>
          <w:tab w:val="left" w:pos="0"/>
          <w:tab w:val="left" w:pos="1276"/>
        </w:tabs>
        <w:spacing w:line="360" w:lineRule="auto"/>
        <w:ind w:firstLine="480" w:firstLineChars="200"/>
        <w:rPr>
          <w:rFonts w:cs="Courier New"/>
          <w:sz w:val="24"/>
          <w:szCs w:val="24"/>
        </w:rPr>
      </w:pPr>
      <w:r>
        <w:rPr>
          <w:rFonts w:hint="eastAsia" w:cs="Courier New"/>
          <w:sz w:val="24"/>
          <w:szCs w:val="24"/>
        </w:rPr>
        <w:t>4)</w:t>
      </w:r>
      <w:r>
        <w:rPr>
          <w:rFonts w:hint="eastAsia" w:cs="Arial"/>
          <w:snapToGrid w:val="0"/>
          <w:sz w:val="24"/>
          <w:szCs w:val="24"/>
        </w:rPr>
        <w:t>投标人未填综合单价或合价的清单项目，在工程实施过程中，招标人将不另再支付，并视作该项费用已包括在其他有价款的项目综合单价和合价内。</w:t>
      </w:r>
    </w:p>
    <w:p w14:paraId="2AEBAE23">
      <w:pPr>
        <w:pStyle w:val="24"/>
        <w:tabs>
          <w:tab w:val="left" w:pos="0"/>
          <w:tab w:val="left" w:pos="1276"/>
        </w:tabs>
        <w:spacing w:line="360" w:lineRule="auto"/>
        <w:ind w:firstLine="480" w:firstLineChars="200"/>
        <w:rPr>
          <w:rFonts w:cs="Courier New"/>
          <w:sz w:val="24"/>
          <w:szCs w:val="24"/>
        </w:rPr>
      </w:pPr>
      <w:r>
        <w:rPr>
          <w:rFonts w:hint="eastAsia" w:cs="Courier New"/>
          <w:sz w:val="24"/>
          <w:szCs w:val="24"/>
        </w:rPr>
        <w:t>5)工程量清单报价中的项目单价与其数量相乘的总和，应与投标报价汇总表总价及投标函中的投标总价相符，不符时以单价数量的总和为准；</w:t>
      </w:r>
    </w:p>
    <w:p w14:paraId="47D1D76E">
      <w:pPr>
        <w:tabs>
          <w:tab w:val="left" w:pos="0"/>
          <w:tab w:val="left" w:pos="993"/>
          <w:tab w:val="left" w:pos="1134"/>
        </w:tabs>
        <w:spacing w:line="360" w:lineRule="auto"/>
        <w:ind w:firstLine="480" w:firstLineChars="200"/>
        <w:rPr>
          <w:rFonts w:hint="eastAsia" w:ascii="宋体" w:hAnsi="宋体" w:cs="Arial"/>
          <w:snapToGrid w:val="0"/>
          <w:sz w:val="24"/>
        </w:rPr>
      </w:pPr>
      <w:r>
        <w:rPr>
          <w:rFonts w:hint="eastAsia" w:ascii="宋体" w:hAnsi="宋体" w:cs="Arial"/>
          <w:snapToGrid w:val="0"/>
          <w:sz w:val="24"/>
        </w:rPr>
        <w:t>12、本工程投标上限价为</w:t>
      </w:r>
      <w:r>
        <w:rPr>
          <w:rFonts w:hint="eastAsia"/>
          <w:sz w:val="24"/>
          <w:szCs w:val="24"/>
        </w:rPr>
        <w:t>198705元</w:t>
      </w:r>
      <w:r>
        <w:rPr>
          <w:rFonts w:hint="eastAsia" w:ascii="宋体" w:hAnsi="宋体" w:cs="Arial"/>
          <w:snapToGrid w:val="0"/>
          <w:sz w:val="24"/>
        </w:rPr>
        <w:t>，投标人的报价高于投标上限价的，其投标报价无效。</w:t>
      </w:r>
    </w:p>
    <w:p w14:paraId="0A9341E2">
      <w:pPr>
        <w:tabs>
          <w:tab w:val="left" w:pos="0"/>
          <w:tab w:val="left" w:pos="993"/>
          <w:tab w:val="left" w:pos="1134"/>
        </w:tabs>
        <w:adjustRightInd w:val="0"/>
        <w:snapToGrid w:val="0"/>
        <w:spacing w:line="360" w:lineRule="auto"/>
        <w:ind w:firstLine="465"/>
        <w:jc w:val="left"/>
        <w:rPr>
          <w:rFonts w:hint="eastAsia" w:ascii="宋体" w:hAnsi="宋体" w:cs="Arial"/>
          <w:snapToGrid w:val="0"/>
          <w:sz w:val="24"/>
        </w:rPr>
      </w:pPr>
      <w:r>
        <w:rPr>
          <w:rFonts w:hint="eastAsia" w:ascii="宋体" w:hAnsi="宋体" w:cs="Arial"/>
          <w:snapToGrid w:val="0"/>
          <w:sz w:val="24"/>
        </w:rPr>
        <w:t>13、投标报价的方式：工程量清单报价。投标人应充分考虑现场条件、施工期间各类建材的市场风险和政策性调整确定风险系数计入报价（设计变更、及招标人要求变动的内容除外），工程计价方式：工程量清单计价。</w:t>
      </w:r>
    </w:p>
    <w:p w14:paraId="6F282448">
      <w:pPr>
        <w:tabs>
          <w:tab w:val="left" w:pos="0"/>
          <w:tab w:val="left" w:pos="180"/>
          <w:tab w:val="left" w:pos="993"/>
          <w:tab w:val="left" w:pos="1134"/>
        </w:tabs>
        <w:spacing w:line="360" w:lineRule="auto"/>
        <w:ind w:firstLine="480" w:firstLineChars="200"/>
        <w:jc w:val="left"/>
        <w:rPr>
          <w:rFonts w:hint="eastAsia" w:ascii="宋体" w:hAnsi="宋体"/>
          <w:sz w:val="24"/>
        </w:rPr>
      </w:pPr>
      <w:r>
        <w:rPr>
          <w:rFonts w:hint="eastAsia" w:ascii="宋体" w:hAnsi="宋体" w:cs="Arial"/>
          <w:snapToGrid w:val="0"/>
          <w:sz w:val="24"/>
        </w:rPr>
        <w:t>14、</w:t>
      </w:r>
      <w:r>
        <w:rPr>
          <w:rFonts w:hint="eastAsia" w:ascii="宋体" w:hAnsi="宋体"/>
          <w:sz w:val="24"/>
        </w:rPr>
        <w:t>工程价款的调整</w:t>
      </w:r>
    </w:p>
    <w:p w14:paraId="0EC13411">
      <w:pPr>
        <w:tabs>
          <w:tab w:val="left" w:pos="0"/>
          <w:tab w:val="left" w:pos="993"/>
          <w:tab w:val="left" w:pos="1134"/>
        </w:tabs>
        <w:adjustRightInd w:val="0"/>
        <w:snapToGrid w:val="0"/>
        <w:spacing w:line="360" w:lineRule="auto"/>
        <w:ind w:firstLine="465"/>
        <w:jc w:val="left"/>
        <w:rPr>
          <w:rFonts w:hint="eastAsia" w:ascii="宋体" w:hAnsi="宋体"/>
          <w:snapToGrid w:val="0"/>
          <w:sz w:val="24"/>
        </w:rPr>
      </w:pPr>
      <w:r>
        <w:rPr>
          <w:rFonts w:hint="eastAsia" w:ascii="宋体" w:hAnsi="宋体"/>
          <w:snapToGrid w:val="0"/>
          <w:sz w:val="24"/>
        </w:rPr>
        <w:t>设计变更和招标人要求变更的内容可作价款调整。调整的价款由承包人向招标人提出，经招标人确认后作为结算的依据，调整方法详见合同专用条款。</w:t>
      </w:r>
    </w:p>
    <w:p w14:paraId="5DDB65B9">
      <w:pPr>
        <w:tabs>
          <w:tab w:val="left" w:pos="0"/>
          <w:tab w:val="left" w:pos="993"/>
          <w:tab w:val="left" w:pos="1134"/>
        </w:tabs>
        <w:adjustRightInd w:val="0"/>
        <w:snapToGrid w:val="0"/>
        <w:spacing w:line="360" w:lineRule="auto"/>
        <w:ind w:firstLine="465"/>
        <w:jc w:val="left"/>
        <w:rPr>
          <w:rFonts w:hint="eastAsia" w:ascii="宋体" w:hAnsi="宋体" w:cs="Arial"/>
          <w:snapToGrid w:val="0"/>
          <w:sz w:val="24"/>
        </w:rPr>
      </w:pPr>
      <w:r>
        <w:rPr>
          <w:rFonts w:hint="eastAsia" w:ascii="宋体" w:hAnsi="宋体"/>
          <w:snapToGrid w:val="0"/>
          <w:sz w:val="24"/>
        </w:rPr>
        <w:t>15、投标报价的计价方式：由招标人提供工程量清单，投标人自主报价。</w:t>
      </w:r>
    </w:p>
    <w:p w14:paraId="6290CB33">
      <w:pPr>
        <w:tabs>
          <w:tab w:val="left" w:pos="0"/>
          <w:tab w:val="left" w:pos="993"/>
          <w:tab w:val="left" w:pos="1134"/>
        </w:tabs>
        <w:adjustRightInd w:val="0"/>
        <w:snapToGrid w:val="0"/>
        <w:spacing w:line="360" w:lineRule="auto"/>
        <w:jc w:val="center"/>
        <w:rPr>
          <w:rFonts w:hint="eastAsia" w:ascii="宋体" w:hAnsi="宋体"/>
          <w:b/>
          <w:snapToGrid w:val="0"/>
          <w:sz w:val="28"/>
          <w:szCs w:val="28"/>
        </w:rPr>
      </w:pPr>
    </w:p>
    <w:p w14:paraId="0CB0C18C">
      <w:pPr>
        <w:tabs>
          <w:tab w:val="left" w:pos="0"/>
          <w:tab w:val="left" w:pos="993"/>
          <w:tab w:val="left" w:pos="1134"/>
        </w:tabs>
        <w:adjustRightInd w:val="0"/>
        <w:snapToGrid w:val="0"/>
        <w:spacing w:line="360" w:lineRule="auto"/>
        <w:jc w:val="center"/>
        <w:rPr>
          <w:rFonts w:hint="eastAsia" w:asciiTheme="minorEastAsia" w:hAnsiTheme="minorEastAsia" w:eastAsiaTheme="minorEastAsia"/>
          <w:b/>
          <w:bCs/>
          <w:snapToGrid w:val="0"/>
          <w:sz w:val="28"/>
          <w:szCs w:val="28"/>
        </w:rPr>
      </w:pPr>
      <w:r>
        <w:rPr>
          <w:rFonts w:hint="eastAsia" w:cs="楷体_GB2312" w:asciiTheme="minorEastAsia" w:hAnsiTheme="minorEastAsia" w:eastAsiaTheme="minorEastAsia"/>
          <w:b/>
          <w:bCs/>
          <w:snapToGrid w:val="0"/>
          <w:sz w:val="28"/>
          <w:szCs w:val="28"/>
        </w:rPr>
        <w:t>四、投标文件的编制</w:t>
      </w:r>
    </w:p>
    <w:p w14:paraId="6B2342DF">
      <w:pPr>
        <w:tabs>
          <w:tab w:val="left" w:pos="0"/>
          <w:tab w:val="left" w:pos="993"/>
          <w:tab w:val="left" w:pos="1134"/>
        </w:tabs>
        <w:adjustRightInd w:val="0"/>
        <w:snapToGrid w:val="0"/>
        <w:spacing w:line="360" w:lineRule="auto"/>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（一）投标文件的组成</w:t>
      </w:r>
    </w:p>
    <w:p w14:paraId="1DF6708B">
      <w:pPr>
        <w:spacing w:line="360" w:lineRule="auto"/>
        <w:ind w:firstLine="480" w:firstLineChars="200"/>
        <w:rPr>
          <w:rFonts w:hint="eastAsia" w:ascii="宋体" w:hAnsi="宋体"/>
          <w:sz w:val="24"/>
          <w:szCs w:val="24"/>
        </w:rPr>
      </w:pPr>
      <w:r>
        <w:rPr>
          <w:rFonts w:hint="eastAsia" w:cs="楷体_GB2312" w:asciiTheme="minorEastAsia" w:hAnsiTheme="minorEastAsia" w:eastAsiaTheme="minorEastAsia"/>
          <w:snapToGrid w:val="0"/>
          <w:sz w:val="24"/>
          <w:szCs w:val="24"/>
        </w:rPr>
        <w:t>投标人应当按照招标文件要求编制投标文件，投标文件应对招标文件提出的实质性要求和条件做出响应，</w:t>
      </w:r>
      <w:r>
        <w:rPr>
          <w:rFonts w:hint="eastAsia" w:ascii="宋体" w:hAnsi="宋体"/>
          <w:sz w:val="24"/>
          <w:szCs w:val="24"/>
        </w:rPr>
        <w:t>编写的投标文件包括以下几部分：</w:t>
      </w:r>
    </w:p>
    <w:p w14:paraId="4878473B">
      <w:pPr>
        <w:spacing w:line="360" w:lineRule="auto"/>
        <w:ind w:firstLine="480" w:firstLineChars="200"/>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1、商务文件应包括下列内容</w:t>
      </w:r>
      <w:r>
        <w:rPr>
          <w:rFonts w:hint="eastAsia" w:ascii="宋体" w:hAnsi="宋体" w:cs="宋体"/>
          <w:sz w:val="24"/>
          <w:szCs w:val="24"/>
        </w:rPr>
        <w:t>（以下资料需要加盖公章）</w:t>
      </w:r>
      <w:r>
        <w:rPr>
          <w:rFonts w:hint="eastAsia" w:cs="楷体_GB2312" w:asciiTheme="minorEastAsia" w:hAnsiTheme="minorEastAsia" w:eastAsiaTheme="minorEastAsia"/>
          <w:snapToGrid w:val="0"/>
          <w:sz w:val="24"/>
          <w:szCs w:val="24"/>
        </w:rPr>
        <w:t>：</w:t>
      </w:r>
    </w:p>
    <w:p w14:paraId="48D5C3C9">
      <w:pPr>
        <w:spacing w:line="360" w:lineRule="auto"/>
        <w:ind w:firstLine="480" w:firstLineChars="200"/>
        <w:rPr>
          <w:rFonts w:hint="eastAsia" w:ascii="宋体" w:hAnsi="宋体" w:cs="宋体"/>
          <w:snapToGrid w:val="0"/>
          <w:sz w:val="24"/>
          <w:szCs w:val="24"/>
        </w:rPr>
      </w:pPr>
      <w:r>
        <w:rPr>
          <w:rFonts w:hint="eastAsia" w:cs="楷体_GB2312" w:asciiTheme="minorEastAsia" w:hAnsiTheme="minorEastAsia" w:eastAsiaTheme="minorEastAsia"/>
          <w:snapToGrid w:val="0"/>
          <w:sz w:val="24"/>
          <w:szCs w:val="24"/>
        </w:rPr>
        <w:t>（1）</w:t>
      </w:r>
      <w:r>
        <w:rPr>
          <w:rFonts w:hint="eastAsia" w:ascii="宋体" w:hAnsi="宋体" w:cs="宋体"/>
          <w:snapToGrid w:val="0"/>
          <w:sz w:val="24"/>
          <w:szCs w:val="24"/>
        </w:rPr>
        <w:t>授权委托书（原件）</w:t>
      </w:r>
    </w:p>
    <w:p w14:paraId="295C590A">
      <w:pPr>
        <w:spacing w:line="360" w:lineRule="auto"/>
        <w:ind w:firstLine="480" w:firstLineChars="200"/>
        <w:rPr>
          <w:rFonts w:hint="eastAsia" w:ascii="宋体" w:hAnsi="宋体" w:cs="宋体"/>
          <w:snapToGrid w:val="0"/>
          <w:sz w:val="24"/>
          <w:szCs w:val="24"/>
        </w:rPr>
      </w:pPr>
      <w:r>
        <w:rPr>
          <w:rFonts w:hint="eastAsia" w:cs="楷体_GB2312" w:asciiTheme="minorEastAsia" w:hAnsiTheme="minorEastAsia" w:eastAsiaTheme="minorEastAsia"/>
          <w:snapToGrid w:val="0"/>
          <w:sz w:val="24"/>
          <w:szCs w:val="24"/>
        </w:rPr>
        <w:t>（2）</w:t>
      </w:r>
      <w:r>
        <w:rPr>
          <w:rFonts w:hint="eastAsia" w:ascii="宋体" w:hAnsi="宋体" w:cs="宋体"/>
          <w:snapToGrid w:val="0"/>
          <w:sz w:val="24"/>
          <w:szCs w:val="24"/>
        </w:rPr>
        <w:t>法定代表人身份证明（原件）</w:t>
      </w:r>
    </w:p>
    <w:p w14:paraId="61BDB7C9">
      <w:pPr>
        <w:spacing w:line="360" w:lineRule="auto"/>
        <w:ind w:firstLine="480" w:firstLineChars="200"/>
        <w:rPr>
          <w:rFonts w:hint="eastAsia" w:ascii="宋体" w:hAnsi="宋体" w:cs="宋体"/>
          <w:snapToGrid w:val="0"/>
          <w:sz w:val="24"/>
          <w:szCs w:val="24"/>
        </w:rPr>
      </w:pPr>
      <w:r>
        <w:rPr>
          <w:rFonts w:hint="eastAsia" w:cs="楷体_GB2312" w:asciiTheme="minorEastAsia" w:hAnsiTheme="minorEastAsia" w:eastAsiaTheme="minorEastAsia"/>
          <w:snapToGrid w:val="0"/>
          <w:sz w:val="24"/>
          <w:szCs w:val="24"/>
        </w:rPr>
        <w:t>（3）</w:t>
      </w:r>
      <w:r>
        <w:rPr>
          <w:rFonts w:hint="eastAsia" w:ascii="宋体" w:hAnsi="宋体" w:cs="宋体"/>
          <w:snapToGrid w:val="0"/>
          <w:sz w:val="24"/>
          <w:szCs w:val="24"/>
        </w:rPr>
        <w:t>企业营业执照（复印件）</w:t>
      </w:r>
    </w:p>
    <w:p w14:paraId="16F0E9AE">
      <w:pPr>
        <w:spacing w:line="360" w:lineRule="auto"/>
        <w:ind w:firstLine="480" w:firstLineChars="200"/>
        <w:rPr>
          <w:rFonts w:hint="eastAsia"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（4）</w:t>
      </w:r>
      <w:r>
        <w:rPr>
          <w:rFonts w:hint="eastAsia" w:cs="楷体_GB2312" w:asciiTheme="minorEastAsia" w:hAnsiTheme="minorEastAsia" w:eastAsiaTheme="minorEastAsia"/>
          <w:snapToGrid w:val="0"/>
          <w:sz w:val="24"/>
          <w:szCs w:val="24"/>
        </w:rPr>
        <w:t>投标函</w:t>
      </w:r>
      <w:r>
        <w:rPr>
          <w:rFonts w:hint="eastAsia" w:ascii="宋体" w:hAnsi="宋体" w:cs="宋体"/>
          <w:snapToGrid w:val="0"/>
          <w:sz w:val="24"/>
          <w:szCs w:val="24"/>
        </w:rPr>
        <w:t>（原件）</w:t>
      </w:r>
    </w:p>
    <w:p w14:paraId="78214C09">
      <w:pPr>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（5）工程量清单报价表</w:t>
      </w:r>
      <w:r>
        <w:rPr>
          <w:rFonts w:hint="eastAsia" w:ascii="宋体" w:hAnsi="宋体" w:cs="宋体"/>
          <w:snapToGrid w:val="0"/>
          <w:sz w:val="24"/>
          <w:szCs w:val="24"/>
        </w:rPr>
        <w:t>（原件）</w:t>
      </w:r>
    </w:p>
    <w:p w14:paraId="67ABF8EB">
      <w:pPr>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（6）分部分项表等</w:t>
      </w:r>
      <w:r>
        <w:rPr>
          <w:rFonts w:hint="eastAsia" w:ascii="宋体" w:hAnsi="宋体" w:cs="宋体"/>
          <w:snapToGrid w:val="0"/>
          <w:sz w:val="24"/>
          <w:szCs w:val="24"/>
        </w:rPr>
        <w:t>（原件）</w:t>
      </w:r>
    </w:p>
    <w:p w14:paraId="6BDFAF0E">
      <w:pPr>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（7）其他资料</w:t>
      </w:r>
    </w:p>
    <w:p w14:paraId="6249D929">
      <w:pPr>
        <w:tabs>
          <w:tab w:val="left" w:pos="0"/>
          <w:tab w:val="left" w:pos="993"/>
          <w:tab w:val="left" w:pos="1134"/>
        </w:tabs>
        <w:adjustRightInd w:val="0"/>
        <w:snapToGrid w:val="0"/>
        <w:spacing w:line="360" w:lineRule="auto"/>
        <w:rPr>
          <w:rFonts w:hint="eastAsia" w:ascii="宋体" w:hAnsi="宋体"/>
          <w:snapToGrid w:val="0"/>
          <w:sz w:val="24"/>
          <w:szCs w:val="24"/>
        </w:rPr>
      </w:pPr>
      <w:r>
        <w:rPr>
          <w:rFonts w:hint="eastAsia" w:ascii="宋体" w:hAnsi="宋体" w:cs="Arial"/>
          <w:snapToGrid w:val="0"/>
          <w:sz w:val="24"/>
          <w:szCs w:val="24"/>
        </w:rPr>
        <w:t>（二）</w:t>
      </w:r>
      <w:r>
        <w:rPr>
          <w:rFonts w:hint="eastAsia" w:ascii="宋体" w:hAnsi="宋体"/>
          <w:snapToGrid w:val="0"/>
          <w:sz w:val="24"/>
          <w:szCs w:val="24"/>
        </w:rPr>
        <w:t>投标文件的份数和签署</w:t>
      </w:r>
    </w:p>
    <w:p w14:paraId="4C006995">
      <w:pPr>
        <w:pStyle w:val="123"/>
        <w:tabs>
          <w:tab w:val="left" w:pos="0"/>
          <w:tab w:val="left" w:pos="709"/>
          <w:tab w:val="left" w:pos="861"/>
          <w:tab w:val="left" w:pos="1002"/>
        </w:tabs>
        <w:adjustRightInd w:val="0"/>
        <w:snapToGrid w:val="0"/>
        <w:spacing w:line="360" w:lineRule="auto"/>
        <w:ind w:firstLine="540" w:firstLineChars="225"/>
        <w:rPr>
          <w:rFonts w:hint="eastAsia" w:ascii="宋体" w:hAnsi="宋体"/>
          <w:snapToGrid w:val="0"/>
          <w:sz w:val="24"/>
        </w:rPr>
      </w:pPr>
      <w:r>
        <w:rPr>
          <w:rFonts w:hint="eastAsia" w:ascii="宋体" w:hAnsi="宋体"/>
          <w:snapToGrid w:val="0"/>
          <w:sz w:val="24"/>
        </w:rPr>
        <w:t>1、投标人必须编制一份投标文件“正本”和</w:t>
      </w:r>
      <w:r>
        <w:rPr>
          <w:rFonts w:hint="eastAsia" w:ascii="宋体" w:hAnsi="宋体" w:cs="楷体_GB2312"/>
          <w:snapToGrid w:val="0"/>
          <w:sz w:val="24"/>
        </w:rPr>
        <w:t>一</w:t>
      </w:r>
      <w:r>
        <w:rPr>
          <w:rFonts w:hint="eastAsia" w:ascii="宋体" w:hAnsi="宋体"/>
          <w:snapToGrid w:val="0"/>
          <w:sz w:val="24"/>
        </w:rPr>
        <w:t>份的“副本”，并明确标明“正本”和“副本”。投标文件正本和副本如有不一致之处，以正本为准。</w:t>
      </w:r>
    </w:p>
    <w:p w14:paraId="5DF9D15E">
      <w:pPr>
        <w:pStyle w:val="123"/>
        <w:tabs>
          <w:tab w:val="left" w:pos="0"/>
          <w:tab w:val="left" w:pos="709"/>
          <w:tab w:val="left" w:pos="861"/>
          <w:tab w:val="left" w:pos="1002"/>
        </w:tabs>
        <w:adjustRightInd w:val="0"/>
        <w:snapToGrid w:val="0"/>
        <w:spacing w:line="360" w:lineRule="auto"/>
        <w:ind w:firstLine="480"/>
        <w:jc w:val="left"/>
        <w:rPr>
          <w:rFonts w:hint="eastAsia" w:ascii="宋体" w:hAnsi="宋体"/>
          <w:snapToGrid w:val="0"/>
          <w:sz w:val="24"/>
        </w:rPr>
      </w:pPr>
      <w:r>
        <w:rPr>
          <w:rFonts w:hint="eastAsia" w:ascii="宋体" w:hAnsi="宋体"/>
          <w:snapToGrid w:val="0"/>
          <w:sz w:val="24"/>
        </w:rPr>
        <w:t>2、投标文件均应使用不能擦去的墨水书写或打印，投标函等相关部位按要求由投标人加盖法人公章和法定代表人或法定代表人委托的代理人印鉴或签字。</w:t>
      </w:r>
    </w:p>
    <w:p w14:paraId="63DD2913">
      <w:pPr>
        <w:pStyle w:val="123"/>
        <w:tabs>
          <w:tab w:val="left" w:pos="0"/>
          <w:tab w:val="left" w:pos="709"/>
          <w:tab w:val="left" w:pos="861"/>
          <w:tab w:val="left" w:pos="1002"/>
        </w:tabs>
        <w:adjustRightInd w:val="0"/>
        <w:snapToGrid w:val="0"/>
        <w:spacing w:line="360" w:lineRule="auto"/>
        <w:ind w:firstLine="480"/>
        <w:jc w:val="left"/>
        <w:rPr>
          <w:rFonts w:hint="eastAsia" w:ascii="宋体" w:hAnsi="宋体" w:cs="Arial"/>
          <w:snapToGrid w:val="0"/>
          <w:sz w:val="24"/>
        </w:rPr>
      </w:pPr>
      <w:r>
        <w:rPr>
          <w:rFonts w:hint="eastAsia" w:ascii="宋体" w:hAnsi="宋体" w:cs="Arial"/>
          <w:snapToGrid w:val="0"/>
          <w:sz w:val="24"/>
        </w:rPr>
        <w:t>3、全套投标文件应无涂改和行间插字，除非这些删改是根据招标文件的指示进行的，或者是投标人造成的必须修改的错误。修改处应加盖法定代表人或其委托人印鉴。</w:t>
      </w:r>
    </w:p>
    <w:p w14:paraId="4A9C550D">
      <w:pPr>
        <w:pStyle w:val="123"/>
        <w:tabs>
          <w:tab w:val="left" w:pos="0"/>
          <w:tab w:val="left" w:pos="709"/>
          <w:tab w:val="left" w:pos="861"/>
          <w:tab w:val="left" w:pos="1002"/>
        </w:tabs>
        <w:adjustRightInd w:val="0"/>
        <w:snapToGrid w:val="0"/>
        <w:spacing w:line="360" w:lineRule="auto"/>
        <w:ind w:firstLine="480"/>
        <w:jc w:val="left"/>
        <w:rPr>
          <w:rFonts w:hint="eastAsia" w:ascii="宋体" w:hAnsi="宋体" w:cs="Arial"/>
          <w:snapToGrid w:val="0"/>
          <w:sz w:val="24"/>
        </w:rPr>
      </w:pPr>
    </w:p>
    <w:p w14:paraId="68343C72">
      <w:pPr>
        <w:tabs>
          <w:tab w:val="left" w:pos="0"/>
          <w:tab w:val="left" w:pos="993"/>
          <w:tab w:val="left" w:pos="1134"/>
        </w:tabs>
        <w:adjustRightInd w:val="0"/>
        <w:snapToGrid w:val="0"/>
        <w:spacing w:line="360" w:lineRule="auto"/>
        <w:jc w:val="center"/>
        <w:rPr>
          <w:rFonts w:hint="eastAsia" w:asciiTheme="minorEastAsia" w:hAnsiTheme="minorEastAsia" w:eastAsiaTheme="minorEastAsia"/>
          <w:b/>
          <w:bCs/>
          <w:snapToGrid w:val="0"/>
          <w:sz w:val="28"/>
          <w:szCs w:val="28"/>
        </w:rPr>
      </w:pPr>
      <w:r>
        <w:rPr>
          <w:rFonts w:hint="eastAsia" w:cs="楷体_GB2312" w:asciiTheme="minorEastAsia" w:hAnsiTheme="minorEastAsia" w:eastAsiaTheme="minorEastAsia"/>
          <w:b/>
          <w:bCs/>
          <w:snapToGrid w:val="0"/>
          <w:sz w:val="28"/>
          <w:szCs w:val="28"/>
        </w:rPr>
        <w:t>五、投标文件的密封与递交</w:t>
      </w:r>
    </w:p>
    <w:p w14:paraId="316F7A76">
      <w:pPr>
        <w:tabs>
          <w:tab w:val="left" w:pos="0"/>
          <w:tab w:val="left" w:pos="993"/>
          <w:tab w:val="left" w:pos="1134"/>
        </w:tabs>
        <w:adjustRightInd w:val="0"/>
        <w:snapToGrid w:val="0"/>
        <w:spacing w:line="360" w:lineRule="auto"/>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（一）投标文件的密封与标志</w:t>
      </w:r>
    </w:p>
    <w:p w14:paraId="5C890BD5">
      <w:pPr>
        <w:tabs>
          <w:tab w:val="left" w:pos="0"/>
          <w:tab w:val="left" w:pos="993"/>
          <w:tab w:val="left" w:pos="1134"/>
        </w:tabs>
        <w:adjustRightInd w:val="0"/>
        <w:snapToGrid w:val="0"/>
        <w:spacing w:line="360" w:lineRule="auto"/>
        <w:ind w:firstLine="567"/>
        <w:rPr>
          <w:rFonts w:hint="eastAsia" w:ascii="宋体" w:hAnsi="宋体"/>
          <w:snapToGrid w:val="0"/>
          <w:sz w:val="24"/>
          <w:szCs w:val="24"/>
        </w:rPr>
      </w:pPr>
      <w:r>
        <w:rPr>
          <w:rFonts w:hint="eastAsia" w:ascii="宋体" w:hAnsi="宋体"/>
          <w:snapToGrid w:val="0"/>
          <w:sz w:val="24"/>
          <w:szCs w:val="24"/>
        </w:rPr>
        <w:t>1、投标文件封袋上应写明招标人名称、项目名称及投标人的名称。</w:t>
      </w:r>
    </w:p>
    <w:p w14:paraId="79BA6EF8">
      <w:pPr>
        <w:tabs>
          <w:tab w:val="left" w:pos="0"/>
          <w:tab w:val="left" w:pos="993"/>
          <w:tab w:val="left" w:pos="1134"/>
        </w:tabs>
        <w:adjustRightInd w:val="0"/>
        <w:snapToGrid w:val="0"/>
        <w:spacing w:line="360" w:lineRule="auto"/>
        <w:ind w:firstLine="567"/>
        <w:rPr>
          <w:rFonts w:hint="eastAsia" w:ascii="宋体" w:hAnsi="宋体"/>
          <w:snapToGrid w:val="0"/>
          <w:sz w:val="24"/>
          <w:szCs w:val="24"/>
        </w:rPr>
      </w:pPr>
      <w:r>
        <w:rPr>
          <w:rFonts w:hint="eastAsia" w:ascii="宋体" w:hAnsi="宋体"/>
          <w:snapToGrid w:val="0"/>
          <w:sz w:val="24"/>
          <w:szCs w:val="24"/>
        </w:rPr>
        <w:t>2、投标文件必须在封袋</w:t>
      </w:r>
      <w:r>
        <w:rPr>
          <w:rFonts w:hint="eastAsia" w:ascii="宋体" w:hAnsi="宋体"/>
          <w:b/>
          <w:snapToGrid w:val="0"/>
          <w:sz w:val="24"/>
          <w:szCs w:val="24"/>
        </w:rPr>
        <w:t>加盖投标单位法人公章</w:t>
      </w:r>
      <w:r>
        <w:rPr>
          <w:rFonts w:hint="eastAsia" w:ascii="宋体" w:hAnsi="宋体"/>
          <w:snapToGrid w:val="0"/>
          <w:sz w:val="24"/>
          <w:szCs w:val="24"/>
        </w:rPr>
        <w:t>及其</w:t>
      </w:r>
      <w:r>
        <w:rPr>
          <w:rFonts w:hint="eastAsia" w:ascii="宋体" w:hAnsi="宋体"/>
          <w:b/>
          <w:snapToGrid w:val="0"/>
          <w:sz w:val="24"/>
          <w:szCs w:val="24"/>
        </w:rPr>
        <w:t>法定代表人或授权委托人印鉴</w:t>
      </w:r>
      <w:r>
        <w:rPr>
          <w:rFonts w:hint="eastAsia" w:ascii="宋体" w:hAnsi="宋体"/>
          <w:snapToGrid w:val="0"/>
          <w:sz w:val="24"/>
          <w:szCs w:val="24"/>
        </w:rPr>
        <w:t>。</w:t>
      </w:r>
    </w:p>
    <w:p w14:paraId="17BB95EB">
      <w:pPr>
        <w:tabs>
          <w:tab w:val="left" w:pos="0"/>
          <w:tab w:val="left" w:pos="993"/>
          <w:tab w:val="left" w:pos="1134"/>
        </w:tabs>
        <w:adjustRightInd w:val="0"/>
        <w:snapToGrid w:val="0"/>
        <w:spacing w:line="360" w:lineRule="auto"/>
        <w:ind w:firstLine="567"/>
        <w:rPr>
          <w:rFonts w:hint="eastAsia" w:ascii="宋体" w:hAnsi="宋体" w:cs="楷体_GB2312"/>
          <w:b/>
          <w:snapToGrid w:val="0"/>
          <w:sz w:val="24"/>
          <w:szCs w:val="24"/>
        </w:rPr>
      </w:pPr>
      <w:r>
        <w:rPr>
          <w:rFonts w:hint="eastAsia" w:ascii="宋体" w:hAnsi="宋体" w:cs="楷体_GB2312"/>
          <w:snapToGrid w:val="0"/>
          <w:sz w:val="24"/>
          <w:szCs w:val="24"/>
        </w:rPr>
        <w:t>3、</w:t>
      </w:r>
      <w:r>
        <w:rPr>
          <w:rFonts w:hint="eastAsia" w:ascii="宋体" w:hAnsi="宋体" w:cs="楷体_GB2312"/>
          <w:b/>
          <w:snapToGrid w:val="0"/>
          <w:sz w:val="24"/>
          <w:szCs w:val="24"/>
        </w:rPr>
        <w:t>投标文件按 “商务标”装订正本一份、副本一份，投递在一个封袋。</w:t>
      </w:r>
    </w:p>
    <w:p w14:paraId="0D4DF4F6">
      <w:pPr>
        <w:tabs>
          <w:tab w:val="left" w:pos="0"/>
          <w:tab w:val="left" w:pos="993"/>
          <w:tab w:val="left" w:pos="1134"/>
        </w:tabs>
        <w:adjustRightInd w:val="0"/>
        <w:snapToGrid w:val="0"/>
        <w:spacing w:line="360" w:lineRule="auto"/>
        <w:rPr>
          <w:rFonts w:hint="eastAsia" w:ascii="宋体" w:hAnsi="宋体" w:cs="楷体_GB2312"/>
          <w:snapToGrid w:val="0"/>
          <w:sz w:val="24"/>
          <w:szCs w:val="24"/>
        </w:rPr>
      </w:pPr>
      <w:r>
        <w:rPr>
          <w:rFonts w:hint="eastAsia" w:ascii="宋体" w:hAnsi="宋体" w:cs="楷体_GB2312"/>
          <w:snapToGrid w:val="0"/>
          <w:sz w:val="24"/>
          <w:szCs w:val="24"/>
        </w:rPr>
        <w:t>（二）投标文件的递交</w:t>
      </w:r>
    </w:p>
    <w:p w14:paraId="3F5B3A1C">
      <w:pPr>
        <w:tabs>
          <w:tab w:val="left" w:pos="0"/>
          <w:tab w:val="left" w:pos="993"/>
          <w:tab w:val="left" w:pos="1134"/>
        </w:tabs>
        <w:adjustRightInd w:val="0"/>
        <w:snapToGrid w:val="0"/>
        <w:spacing w:line="360" w:lineRule="auto"/>
        <w:ind w:firstLine="567"/>
        <w:rPr>
          <w:rFonts w:hint="eastAsia" w:ascii="宋体" w:hAnsi="宋体" w:cs="楷体_GB2312"/>
          <w:snapToGrid w:val="0"/>
          <w:sz w:val="24"/>
          <w:szCs w:val="24"/>
        </w:rPr>
      </w:pPr>
      <w:r>
        <w:rPr>
          <w:rFonts w:hint="eastAsia" w:ascii="宋体" w:hAnsi="宋体" w:cs="楷体_GB2312"/>
          <w:snapToGrid w:val="0"/>
          <w:sz w:val="24"/>
          <w:szCs w:val="24"/>
        </w:rPr>
        <w:t>1、投标人应在招标文件规定的时间之前将投标文件递交到指定地点，并由法人或委托代理人在投标书签收簿上登记。</w:t>
      </w:r>
    </w:p>
    <w:p w14:paraId="0A209E61">
      <w:pPr>
        <w:tabs>
          <w:tab w:val="left" w:pos="0"/>
          <w:tab w:val="left" w:pos="993"/>
          <w:tab w:val="left" w:pos="1134"/>
        </w:tabs>
        <w:adjustRightInd w:val="0"/>
        <w:snapToGrid w:val="0"/>
        <w:spacing w:line="360" w:lineRule="auto"/>
        <w:ind w:firstLine="567"/>
        <w:rPr>
          <w:rFonts w:hint="eastAsia" w:ascii="宋体" w:hAnsi="宋体" w:cs="楷体_GB2312"/>
          <w:snapToGrid w:val="0"/>
          <w:sz w:val="24"/>
          <w:szCs w:val="24"/>
        </w:rPr>
      </w:pPr>
      <w:r>
        <w:rPr>
          <w:rFonts w:hint="eastAsia" w:ascii="宋体" w:hAnsi="宋体" w:cs="楷体_GB2312"/>
          <w:snapToGrid w:val="0"/>
          <w:sz w:val="24"/>
          <w:szCs w:val="24"/>
        </w:rPr>
        <w:t>2、超过投标截止时间送达的投标文件将被拒绝并原封退给投标人。</w:t>
      </w:r>
    </w:p>
    <w:p w14:paraId="00AF9355">
      <w:pPr>
        <w:tabs>
          <w:tab w:val="left" w:pos="0"/>
          <w:tab w:val="left" w:pos="993"/>
          <w:tab w:val="left" w:pos="1134"/>
        </w:tabs>
        <w:adjustRightInd w:val="0"/>
        <w:snapToGrid w:val="0"/>
        <w:spacing w:line="360" w:lineRule="auto"/>
        <w:ind w:firstLine="567"/>
        <w:rPr>
          <w:rFonts w:hint="eastAsia" w:ascii="宋体" w:hAnsi="宋体" w:cs="楷体_GB2312"/>
          <w:snapToGrid w:val="0"/>
          <w:sz w:val="24"/>
          <w:szCs w:val="24"/>
        </w:rPr>
      </w:pPr>
      <w:r>
        <w:rPr>
          <w:rFonts w:hint="eastAsia" w:ascii="宋体" w:hAnsi="宋体" w:cs="楷体_GB2312"/>
          <w:snapToGrid w:val="0"/>
          <w:sz w:val="24"/>
          <w:szCs w:val="24"/>
        </w:rPr>
        <w:t>3、提交投标文件的投标人少于三个的，招标人可以重新招标。</w:t>
      </w:r>
    </w:p>
    <w:p w14:paraId="2474C9F8">
      <w:pPr>
        <w:tabs>
          <w:tab w:val="left" w:pos="0"/>
          <w:tab w:val="left" w:pos="993"/>
          <w:tab w:val="left" w:pos="1134"/>
        </w:tabs>
        <w:adjustRightInd w:val="0"/>
        <w:snapToGrid w:val="0"/>
        <w:spacing w:line="360" w:lineRule="auto"/>
        <w:rPr>
          <w:rFonts w:hint="eastAsia" w:ascii="宋体" w:hAnsi="宋体" w:cs="楷体_GB2312"/>
          <w:snapToGrid w:val="0"/>
          <w:sz w:val="24"/>
          <w:szCs w:val="24"/>
        </w:rPr>
      </w:pPr>
      <w:r>
        <w:rPr>
          <w:rFonts w:hint="eastAsia" w:ascii="宋体" w:hAnsi="宋体" w:cs="楷体_GB2312"/>
          <w:snapToGrid w:val="0"/>
          <w:sz w:val="24"/>
          <w:szCs w:val="24"/>
        </w:rPr>
        <w:t>（三）投标文件的修改与撤回</w:t>
      </w:r>
    </w:p>
    <w:p w14:paraId="17FB4E1C">
      <w:pPr>
        <w:tabs>
          <w:tab w:val="left" w:pos="0"/>
          <w:tab w:val="left" w:pos="993"/>
          <w:tab w:val="left" w:pos="1134"/>
        </w:tabs>
        <w:spacing w:line="360" w:lineRule="auto"/>
        <w:ind w:firstLine="480" w:firstLineChars="200"/>
        <w:jc w:val="left"/>
        <w:rPr>
          <w:rFonts w:hint="eastAsia" w:ascii="宋体" w:hAnsi="宋体"/>
          <w:snapToGrid w:val="0"/>
          <w:sz w:val="24"/>
        </w:rPr>
      </w:pPr>
      <w:r>
        <w:rPr>
          <w:rFonts w:hint="eastAsia" w:ascii="宋体" w:hAnsi="宋体"/>
          <w:snapToGrid w:val="0"/>
          <w:sz w:val="24"/>
        </w:rPr>
        <w:t>1、投标人可以在递交投标文件以后，在规定的投标截止期之前，以书面形式向招标人递交修改或撤回其投标文件的通知。在投标截止期以后，不得更改、撤回投标文件。</w:t>
      </w:r>
    </w:p>
    <w:p w14:paraId="7B35A6D9">
      <w:pPr>
        <w:tabs>
          <w:tab w:val="left" w:pos="0"/>
          <w:tab w:val="left" w:pos="993"/>
          <w:tab w:val="left" w:pos="1134"/>
        </w:tabs>
        <w:spacing w:line="360" w:lineRule="auto"/>
        <w:ind w:firstLine="480" w:firstLineChars="200"/>
        <w:jc w:val="left"/>
        <w:rPr>
          <w:rFonts w:hint="eastAsia" w:ascii="宋体" w:hAnsi="宋体"/>
          <w:snapToGrid w:val="0"/>
          <w:sz w:val="24"/>
        </w:rPr>
      </w:pPr>
      <w:r>
        <w:rPr>
          <w:rFonts w:hint="eastAsia" w:ascii="宋体" w:hAnsi="宋体"/>
          <w:snapToGrid w:val="0"/>
          <w:sz w:val="24"/>
        </w:rPr>
        <w:t>2、投标文件的修改应按本文件相关条款规定的要求编制、密封、标志和递交（密封袋上应标明“修改”字样）。</w:t>
      </w:r>
    </w:p>
    <w:p w14:paraId="1BD72D1B">
      <w:pPr>
        <w:tabs>
          <w:tab w:val="left" w:pos="0"/>
          <w:tab w:val="left" w:pos="993"/>
          <w:tab w:val="left" w:pos="1134"/>
        </w:tabs>
        <w:spacing w:line="360" w:lineRule="auto"/>
        <w:ind w:firstLine="465"/>
        <w:jc w:val="left"/>
        <w:rPr>
          <w:rFonts w:hint="eastAsia" w:ascii="宋体" w:hAnsi="宋体"/>
          <w:snapToGrid w:val="0"/>
          <w:sz w:val="24"/>
        </w:rPr>
      </w:pPr>
      <w:r>
        <w:rPr>
          <w:rFonts w:hint="eastAsia" w:ascii="宋体" w:hAnsi="宋体"/>
          <w:snapToGrid w:val="0"/>
          <w:sz w:val="24"/>
        </w:rPr>
        <w:t>3、投标截止以后,在投标有效期内，未确定中标人前，投标人不得撤回投标文件。</w:t>
      </w:r>
    </w:p>
    <w:p w14:paraId="165D68DF">
      <w:pPr>
        <w:tabs>
          <w:tab w:val="left" w:pos="0"/>
          <w:tab w:val="left" w:pos="993"/>
          <w:tab w:val="left" w:pos="1134"/>
        </w:tabs>
        <w:adjustRightInd w:val="0"/>
        <w:snapToGrid w:val="0"/>
        <w:spacing w:line="360" w:lineRule="auto"/>
        <w:rPr>
          <w:rFonts w:hint="eastAsia" w:ascii="宋体" w:hAnsi="宋体" w:cs="楷体_GB2312"/>
          <w:snapToGrid w:val="0"/>
          <w:sz w:val="24"/>
          <w:szCs w:val="24"/>
        </w:rPr>
      </w:pPr>
      <w:r>
        <w:rPr>
          <w:rFonts w:hint="eastAsia" w:ascii="宋体" w:hAnsi="宋体" w:cs="楷体_GB2312"/>
          <w:snapToGrid w:val="0"/>
          <w:sz w:val="24"/>
          <w:szCs w:val="24"/>
        </w:rPr>
        <w:t>（四）在开标时，投标文件出现下列情形之一的，将作为无效投标文件，不得进入评标：</w:t>
      </w:r>
    </w:p>
    <w:p w14:paraId="69A0485C">
      <w:pPr>
        <w:tabs>
          <w:tab w:val="left" w:pos="0"/>
          <w:tab w:val="left" w:pos="993"/>
          <w:tab w:val="left" w:pos="1134"/>
        </w:tabs>
        <w:adjustRightInd w:val="0"/>
        <w:snapToGrid w:val="0"/>
        <w:spacing w:line="360" w:lineRule="auto"/>
        <w:ind w:firstLine="480" w:firstLineChars="200"/>
        <w:rPr>
          <w:rFonts w:hint="eastAsia" w:ascii="宋体" w:hAnsi="宋体" w:cs="楷体_GB2312"/>
          <w:snapToGrid w:val="0"/>
          <w:sz w:val="24"/>
          <w:szCs w:val="24"/>
        </w:rPr>
      </w:pPr>
      <w:r>
        <w:rPr>
          <w:rFonts w:hint="eastAsia" w:ascii="宋体" w:hAnsi="宋体" w:cs="楷体_GB2312"/>
          <w:snapToGrid w:val="0"/>
          <w:sz w:val="24"/>
          <w:szCs w:val="24"/>
        </w:rPr>
        <w:t>（1）投标文件未按照招标文件的要求予以密封的；</w:t>
      </w:r>
    </w:p>
    <w:p w14:paraId="4C940DDC">
      <w:pPr>
        <w:tabs>
          <w:tab w:val="left" w:pos="0"/>
          <w:tab w:val="left" w:pos="993"/>
          <w:tab w:val="left" w:pos="1134"/>
        </w:tabs>
        <w:adjustRightInd w:val="0"/>
        <w:snapToGrid w:val="0"/>
        <w:spacing w:line="360" w:lineRule="auto"/>
        <w:ind w:firstLine="480" w:firstLineChars="200"/>
        <w:rPr>
          <w:rFonts w:hint="eastAsia" w:ascii="宋体" w:hAnsi="宋体" w:cs="楷体_GB2312"/>
          <w:snapToGrid w:val="0"/>
          <w:sz w:val="24"/>
          <w:szCs w:val="24"/>
        </w:rPr>
      </w:pPr>
      <w:r>
        <w:rPr>
          <w:rFonts w:hint="eastAsia" w:ascii="宋体" w:hAnsi="宋体" w:cs="楷体_GB2312"/>
          <w:snapToGrid w:val="0"/>
          <w:sz w:val="24"/>
          <w:szCs w:val="24"/>
        </w:rPr>
        <w:t>（2）超过投标截止时间递交的投标文件；</w:t>
      </w:r>
    </w:p>
    <w:p w14:paraId="2D52B421">
      <w:pPr>
        <w:tabs>
          <w:tab w:val="left" w:pos="0"/>
          <w:tab w:val="left" w:pos="993"/>
          <w:tab w:val="left" w:pos="1134"/>
        </w:tabs>
        <w:adjustRightInd w:val="0"/>
        <w:snapToGrid w:val="0"/>
        <w:spacing w:line="360" w:lineRule="auto"/>
        <w:ind w:firstLine="480" w:firstLineChars="200"/>
        <w:rPr>
          <w:rFonts w:hint="eastAsia" w:ascii="宋体" w:hAnsi="宋体" w:cs="楷体_GB2312"/>
          <w:snapToGrid w:val="0"/>
          <w:sz w:val="24"/>
          <w:szCs w:val="24"/>
        </w:rPr>
      </w:pPr>
      <w:r>
        <w:rPr>
          <w:rFonts w:hint="eastAsia" w:ascii="宋体" w:hAnsi="宋体" w:cs="楷体_GB2312"/>
          <w:snapToGrid w:val="0"/>
          <w:sz w:val="24"/>
          <w:szCs w:val="24"/>
        </w:rPr>
        <w:t>（3）投标人法定代表或其授权委托人未按时参加开标会的；</w:t>
      </w:r>
    </w:p>
    <w:p w14:paraId="61DB6B8C">
      <w:pPr>
        <w:tabs>
          <w:tab w:val="left" w:pos="0"/>
        </w:tabs>
        <w:adjustRightInd w:val="0"/>
        <w:snapToGrid w:val="0"/>
        <w:spacing w:line="360" w:lineRule="auto"/>
        <w:ind w:firstLine="569" w:firstLineChars="236"/>
        <w:rPr>
          <w:rFonts w:hint="eastAsia" w:ascii="宋体" w:hAnsi="宋体"/>
          <w:b/>
          <w:bCs/>
          <w:snapToGrid w:val="0"/>
          <w:sz w:val="24"/>
          <w:szCs w:val="24"/>
        </w:rPr>
      </w:pPr>
    </w:p>
    <w:p w14:paraId="47545F1B">
      <w:pPr>
        <w:tabs>
          <w:tab w:val="left" w:pos="0"/>
          <w:tab w:val="left" w:pos="993"/>
          <w:tab w:val="left" w:pos="1134"/>
        </w:tabs>
        <w:adjustRightInd w:val="0"/>
        <w:snapToGrid w:val="0"/>
        <w:spacing w:line="360" w:lineRule="auto"/>
        <w:jc w:val="center"/>
        <w:rPr>
          <w:rFonts w:hint="eastAsia" w:asciiTheme="minorEastAsia" w:hAnsiTheme="minorEastAsia" w:eastAsiaTheme="minorEastAsia"/>
          <w:b/>
          <w:bCs/>
          <w:snapToGrid w:val="0"/>
          <w:sz w:val="28"/>
          <w:szCs w:val="28"/>
        </w:rPr>
      </w:pPr>
      <w:bookmarkStart w:id="11" w:name="_Toc161027885"/>
      <w:bookmarkStart w:id="12" w:name="_Toc109524873"/>
      <w:bookmarkStart w:id="13" w:name="_Toc109525039"/>
      <w:r>
        <w:rPr>
          <w:rFonts w:hint="eastAsia" w:cs="楷体_GB2312" w:asciiTheme="minorEastAsia" w:hAnsiTheme="minorEastAsia" w:eastAsiaTheme="minorEastAsia"/>
          <w:b/>
          <w:bCs/>
          <w:snapToGrid w:val="0"/>
          <w:sz w:val="28"/>
          <w:szCs w:val="28"/>
        </w:rPr>
        <w:t>六、开标</w:t>
      </w:r>
      <w:bookmarkEnd w:id="11"/>
      <w:bookmarkEnd w:id="12"/>
      <w:bookmarkEnd w:id="13"/>
    </w:p>
    <w:p w14:paraId="6A55446F">
      <w:pPr>
        <w:tabs>
          <w:tab w:val="left" w:pos="0"/>
          <w:tab w:val="left" w:pos="993"/>
          <w:tab w:val="left" w:pos="1134"/>
        </w:tabs>
        <w:adjustRightInd w:val="0"/>
        <w:snapToGrid w:val="0"/>
        <w:spacing w:line="360" w:lineRule="auto"/>
        <w:rPr>
          <w:rFonts w:hint="eastAsia" w:asciiTheme="minorEastAsia" w:hAnsiTheme="minorEastAsia" w:eastAsiaTheme="minorEastAsia"/>
          <w:b/>
          <w:bCs/>
          <w:snapToGrid w:val="0"/>
          <w:sz w:val="28"/>
          <w:szCs w:val="28"/>
        </w:rPr>
      </w:pPr>
      <w:r>
        <w:rPr>
          <w:rFonts w:hint="eastAsia" w:cs="楷体_GB2312" w:asciiTheme="minorEastAsia" w:hAnsiTheme="minorEastAsia" w:eastAsiaTheme="minorEastAsia"/>
          <w:snapToGrid w:val="0"/>
          <w:sz w:val="24"/>
          <w:szCs w:val="24"/>
        </w:rPr>
        <w:t>（一）开标</w:t>
      </w:r>
    </w:p>
    <w:p w14:paraId="20333D01">
      <w:pPr>
        <w:tabs>
          <w:tab w:val="left" w:pos="0"/>
          <w:tab w:val="left" w:pos="993"/>
          <w:tab w:val="left" w:pos="1134"/>
        </w:tabs>
        <w:adjustRightInd w:val="0"/>
        <w:snapToGrid w:val="0"/>
        <w:spacing w:line="360" w:lineRule="auto"/>
        <w:ind w:firstLine="360" w:firstLineChars="150"/>
        <w:rPr>
          <w:rFonts w:hint="eastAsia" w:asciiTheme="minorEastAsia" w:hAnsiTheme="minorEastAsia" w:eastAsiaTheme="minorEastAsia"/>
          <w:snapToGrid w:val="0"/>
          <w:sz w:val="24"/>
          <w:szCs w:val="24"/>
        </w:rPr>
      </w:pPr>
      <w:r>
        <w:rPr>
          <w:rFonts w:cs="楷体_GB2312" w:asciiTheme="minorEastAsia" w:hAnsiTheme="minorEastAsia" w:eastAsiaTheme="minorEastAsia"/>
          <w:snapToGrid w:val="0"/>
          <w:sz w:val="24"/>
          <w:szCs w:val="24"/>
        </w:rPr>
        <w:t>1</w:t>
      </w:r>
      <w:r>
        <w:rPr>
          <w:rFonts w:hint="eastAsia" w:cs="楷体_GB2312" w:asciiTheme="minorEastAsia" w:hAnsiTheme="minorEastAsia" w:eastAsiaTheme="minorEastAsia"/>
          <w:snapToGrid w:val="0"/>
          <w:sz w:val="24"/>
          <w:szCs w:val="24"/>
        </w:rPr>
        <w:t>、</w:t>
      </w:r>
      <w:r>
        <w:rPr>
          <w:rFonts w:hint="eastAsia" w:ascii="宋体" w:hAnsi="宋体"/>
          <w:snapToGrid w:val="0"/>
          <w:sz w:val="24"/>
        </w:rPr>
        <w:t>招标单位将按投标人须知前附表的时间和地点举行开标会议，投标人的法定代表人或其委托代理人应当在投标文件递交截止时间前到达开标会现场并签到，在招标人按开标程序进行点名时，授权委托人出示本人身份证以证明其出席。</w:t>
      </w:r>
    </w:p>
    <w:p w14:paraId="1E27DE21">
      <w:pPr>
        <w:tabs>
          <w:tab w:val="left" w:pos="0"/>
          <w:tab w:val="left" w:pos="993"/>
          <w:tab w:val="left" w:pos="1134"/>
        </w:tabs>
        <w:adjustRightInd w:val="0"/>
        <w:snapToGrid w:val="0"/>
        <w:spacing w:line="360" w:lineRule="auto"/>
        <w:ind w:firstLine="360" w:firstLineChars="150"/>
        <w:rPr>
          <w:rFonts w:hint="eastAsia" w:asciiTheme="minorEastAsia" w:hAnsiTheme="minorEastAsia" w:eastAsiaTheme="minorEastAsia"/>
          <w:snapToGrid w:val="0"/>
          <w:sz w:val="24"/>
          <w:szCs w:val="24"/>
        </w:rPr>
      </w:pPr>
      <w:r>
        <w:rPr>
          <w:rFonts w:cs="楷体_GB2312" w:asciiTheme="minorEastAsia" w:hAnsiTheme="minorEastAsia" w:eastAsiaTheme="minorEastAsia"/>
          <w:snapToGrid w:val="0"/>
          <w:sz w:val="24"/>
          <w:szCs w:val="24"/>
        </w:rPr>
        <w:t>2</w:t>
      </w:r>
      <w:r>
        <w:rPr>
          <w:rFonts w:hint="eastAsia" w:cs="楷体_GB2312" w:asciiTheme="minorEastAsia" w:hAnsiTheme="minorEastAsia" w:eastAsiaTheme="minorEastAsia"/>
          <w:snapToGrid w:val="0"/>
          <w:sz w:val="24"/>
          <w:szCs w:val="24"/>
        </w:rPr>
        <w:t>、开标一般程序</w:t>
      </w:r>
    </w:p>
    <w:p w14:paraId="5CB7ADB7">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1）宣布开标纪律；</w:t>
      </w:r>
    </w:p>
    <w:p w14:paraId="1D4DADD8">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2）公布在投标截止时间前递交投标文件的投标人名称，并点名确认投标人是否派人到场；</w:t>
      </w:r>
    </w:p>
    <w:p w14:paraId="4E259A6F">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3）宣布开标人、唱标人、记录人、监标人等有关人员姓名；</w:t>
      </w:r>
    </w:p>
    <w:p w14:paraId="6FA47618">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4）按照投标人须知前附表规定检查投标文件的密封情况；</w:t>
      </w:r>
    </w:p>
    <w:p w14:paraId="0A35C88A">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5）按照投标人须知前附表的规定确定并宣布投标文件唱标顺序；</w:t>
      </w:r>
    </w:p>
    <w:p w14:paraId="5CF0BE71">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6）按照宣布的开标顺序当众开标，公布投标人名称、标段名称、投标保证金的递交情况、投标报价、质量目标、工期及其他内容，并记录在案；</w:t>
      </w:r>
    </w:p>
    <w:p w14:paraId="0BC8C25C">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7）投标人代表、招标人代表、监标人、记录人等有关人员在开标记录上签字确认；</w:t>
      </w:r>
    </w:p>
    <w:p w14:paraId="34163685">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8）开标结束。</w:t>
      </w:r>
    </w:p>
    <w:p w14:paraId="6A6781BC">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3、开标时，由投标人推选的代表或招标人委托的公证机构检查投标文件的密封情况，经确认无误后，由工作人员当众予以拆封、宣读、记录。</w:t>
      </w:r>
    </w:p>
    <w:p w14:paraId="49E5B937">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4、招标人在招标文件要求提交投标文件的截止时间前收到的所有符合招标文件规定要求的投标文件，开标时都将当众予以拆封、宣读、记录。</w:t>
      </w:r>
    </w:p>
    <w:p w14:paraId="01782D00">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5、在开标时，投标文件出现下列情形之一的，将作为无效投标文件，不得进入评标：</w:t>
      </w:r>
    </w:p>
    <w:p w14:paraId="288F3B5E">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1）投标文件未按照招标文件的要求予以密封的；</w:t>
      </w:r>
    </w:p>
    <w:p w14:paraId="1D4331C7">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2）超过投标截止时间递交的投标文件；</w:t>
      </w:r>
    </w:p>
    <w:p w14:paraId="7E117CBE">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3）投标人法定代表或其授权委托人未按时参加开标会的；</w:t>
      </w:r>
    </w:p>
    <w:p w14:paraId="0E6513F5">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4）投标人法定代表或其授权委托人未能提供有效身份证件的。</w:t>
      </w:r>
    </w:p>
    <w:p w14:paraId="5ABB1007">
      <w:pPr>
        <w:tabs>
          <w:tab w:val="left" w:pos="0"/>
          <w:tab w:val="left" w:pos="993"/>
          <w:tab w:val="left" w:pos="1134"/>
        </w:tabs>
        <w:adjustRightInd w:val="0"/>
        <w:snapToGrid w:val="0"/>
        <w:spacing w:line="360" w:lineRule="auto"/>
        <w:ind w:firstLine="360" w:firstLineChars="150"/>
        <w:rPr>
          <w:rFonts w:hint="eastAsia" w:cs="楷体_GB2312" w:asciiTheme="minorEastAsia" w:hAnsiTheme="minorEastAsia" w:eastAsiaTheme="minorEastAsia"/>
          <w:snapToGrid w:val="0"/>
          <w:sz w:val="24"/>
          <w:szCs w:val="24"/>
        </w:rPr>
      </w:pPr>
    </w:p>
    <w:p w14:paraId="2949BB17">
      <w:pPr>
        <w:tabs>
          <w:tab w:val="left" w:pos="0"/>
          <w:tab w:val="left" w:pos="993"/>
          <w:tab w:val="left" w:pos="1134"/>
        </w:tabs>
        <w:adjustRightInd w:val="0"/>
        <w:snapToGrid w:val="0"/>
        <w:spacing w:line="360" w:lineRule="auto"/>
        <w:jc w:val="center"/>
        <w:rPr>
          <w:rFonts w:hint="eastAsia" w:cs="楷体_GB2312" w:asciiTheme="minorEastAsia" w:hAnsiTheme="minorEastAsia" w:eastAsiaTheme="minorEastAsia"/>
          <w:b/>
          <w:bCs/>
          <w:snapToGrid w:val="0"/>
          <w:sz w:val="28"/>
          <w:szCs w:val="28"/>
        </w:rPr>
      </w:pPr>
      <w:r>
        <w:rPr>
          <w:rFonts w:hint="eastAsia" w:cs="楷体_GB2312" w:asciiTheme="minorEastAsia" w:hAnsiTheme="minorEastAsia" w:eastAsiaTheme="minorEastAsia"/>
          <w:b/>
          <w:bCs/>
          <w:snapToGrid w:val="0"/>
          <w:sz w:val="28"/>
          <w:szCs w:val="28"/>
        </w:rPr>
        <w:t>七、评标、定标</w:t>
      </w:r>
    </w:p>
    <w:p w14:paraId="518C102D">
      <w:pPr>
        <w:spacing w:line="360" w:lineRule="auto"/>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（一）评标</w:t>
      </w:r>
    </w:p>
    <w:p w14:paraId="0FA6FE14">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1、投标文件的评审工作在有关监督部门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14:paraId="681164F5">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2、评标程序：</w:t>
      </w:r>
    </w:p>
    <w:p w14:paraId="570A3B89">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1）评标准备；</w:t>
      </w:r>
    </w:p>
    <w:p w14:paraId="77AB1881">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2）组建评标委员会；</w:t>
      </w:r>
    </w:p>
    <w:p w14:paraId="0833E423">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 xml:space="preserve">3）初步评审（有一项不符合评审标准的，作无效标处理）； </w:t>
      </w:r>
    </w:p>
    <w:p w14:paraId="1C156FFB">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4）详细评审；</w:t>
      </w:r>
    </w:p>
    <w:p w14:paraId="25F5C2C0">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5）推荐中标候选人，撰写评标报告。</w:t>
      </w:r>
    </w:p>
    <w:p w14:paraId="352C3435">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3、评标准备</w:t>
      </w:r>
    </w:p>
    <w:p w14:paraId="3F11808F">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1)评标委员会成员签到</w:t>
      </w:r>
    </w:p>
    <w:p w14:paraId="5E221E55">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评标委员会成员到达评标现场时应在签到表上签到以证明其出席。</w:t>
      </w:r>
    </w:p>
    <w:p w14:paraId="066F7F28">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2) 评标委员会的分工</w:t>
      </w:r>
    </w:p>
    <w:p w14:paraId="6F9FFD1C">
      <w:pPr>
        <w:adjustRightInd w:val="0"/>
        <w:snapToGrid w:val="0"/>
        <w:spacing w:line="360" w:lineRule="auto"/>
        <w:ind w:firstLine="480" w:firstLineChars="200"/>
        <w:rPr>
          <w:rFonts w:hint="eastAsia" w:ascii="宋体" w:hAnsi="宋体"/>
          <w:snapToGrid w:val="0"/>
          <w:sz w:val="24"/>
        </w:rPr>
      </w:pPr>
      <w:r>
        <w:rPr>
          <w:rFonts w:hint="eastAsia" w:ascii="宋体" w:hAnsi="宋体"/>
          <w:snapToGrid w:val="0"/>
          <w:sz w:val="24"/>
        </w:rPr>
        <w:t>评标委员会首先推选一名评标委员会负责人。评标委员会负责人负责评标活动的组织领导工作。</w:t>
      </w:r>
    </w:p>
    <w:p w14:paraId="5DB947E1">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3) 熟悉文件资料</w:t>
      </w:r>
    </w:p>
    <w:p w14:paraId="34481ABA">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0EDC9885">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招标人或招标代理机构应向评标委员会提供评标所需的信息和数据，包括招标文件、未在开标会上当场拒绝的各投标文件、开标会记录、工程量清单、招标人控制价、工程所在地工程造价管理部门颁布的工程造价信息、定额(如作为计价依据时)、有关的法律、法规、规章、国家标准以及招标人或评标委员会认为必要的其他信息和数据。</w:t>
      </w:r>
    </w:p>
    <w:p w14:paraId="30D62A71">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4)投标文件进行基础性数据分析和整理工作(清标)</w:t>
      </w:r>
    </w:p>
    <w:p w14:paraId="6409D7EB">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在不改变投标人投标文件实质性内容的前提下，评标委员会应当通过对投标文件进行基础性数据分析和整理(本章中简称为“清标”)，从而发现并提取其中可能存在的对招标范围理解的偏差、投标人资信、业绩、不良行为等方面的复核，投标报价的算术性错误、错漏项、投标报价构成不合理、不平衡报价等存在明显异常的问题，并就这些问题整理形成清标成果。需要投标人进行书面澄清、说明或补正的问题，形成质疑问卷，向投标人发出问题澄清通知(包括质疑问卷)。</w:t>
      </w:r>
    </w:p>
    <w:p w14:paraId="71DBFB51">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4、初步评审</w:t>
      </w:r>
    </w:p>
    <w:p w14:paraId="294CA8AF">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1）符合性评审</w:t>
      </w:r>
    </w:p>
    <w:p w14:paraId="5FFA0C21">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评标委员会根据规定的评审因素和评审标准，对投标人的投标文件进行符合性评审并记录评审结果。</w:t>
      </w:r>
    </w:p>
    <w:p w14:paraId="10A4B3F2">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2）响应性评审</w:t>
      </w:r>
    </w:p>
    <w:p w14:paraId="483D5BCA">
      <w:pPr>
        <w:tabs>
          <w:tab w:val="left" w:pos="0"/>
          <w:tab w:val="left" w:pos="1134"/>
        </w:tabs>
        <w:spacing w:line="360" w:lineRule="auto"/>
        <w:ind w:firstLine="560"/>
        <w:rPr>
          <w:rFonts w:hint="eastAsia" w:ascii="宋体" w:hAnsi="宋体"/>
          <w:snapToGrid w:val="0"/>
          <w:sz w:val="24"/>
        </w:rPr>
      </w:pPr>
      <w:r>
        <w:rPr>
          <w:rFonts w:hint="eastAsia" w:ascii="宋体" w:hAnsi="宋体" w:cs="Arial"/>
          <w:snapToGrid w:val="0"/>
          <w:sz w:val="24"/>
        </w:rPr>
        <w:t>（</w:t>
      </w:r>
      <w:r>
        <w:rPr>
          <w:rFonts w:hint="eastAsia" w:ascii="宋体" w:hAnsi="宋体"/>
          <w:snapToGrid w:val="0"/>
          <w:sz w:val="24"/>
        </w:rPr>
        <w:t>1）评标委员会根据本章规定的评审因素和评审标准，对投标人的投标文件进行响应性评审，并记录评审结果。</w:t>
      </w:r>
    </w:p>
    <w:p w14:paraId="30E53528">
      <w:pPr>
        <w:tabs>
          <w:tab w:val="left" w:pos="0"/>
          <w:tab w:val="left" w:pos="1134"/>
        </w:tabs>
        <w:spacing w:line="360" w:lineRule="auto"/>
        <w:ind w:firstLine="560"/>
        <w:rPr>
          <w:rFonts w:hint="eastAsia" w:ascii="宋体" w:hAnsi="宋体"/>
          <w:snapToGrid w:val="0"/>
          <w:sz w:val="24"/>
        </w:rPr>
      </w:pPr>
      <w:r>
        <w:rPr>
          <w:rFonts w:hint="eastAsia" w:ascii="宋体" w:hAnsi="宋体" w:cs="Arial"/>
          <w:snapToGrid w:val="0"/>
          <w:sz w:val="24"/>
        </w:rPr>
        <w:t>（</w:t>
      </w:r>
      <w:r>
        <w:rPr>
          <w:rFonts w:hint="eastAsia" w:ascii="宋体" w:hAnsi="宋体"/>
          <w:snapToGrid w:val="0"/>
          <w:sz w:val="24"/>
        </w:rPr>
        <w:t>2）投标人投标价格不得超出(不含等于)“投标上限价”，凡投标人的投标价格超出“招标控制价”)，该投标人的投标文件不能通过响应性评审。</w:t>
      </w:r>
    </w:p>
    <w:p w14:paraId="4761E4E6">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3）算术错误修正</w:t>
      </w:r>
    </w:p>
    <w:p w14:paraId="5A51C8B8">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投标报价有算术错误的，评标委员会按以下原则对投标报价进行修正，修正的价格经投标人书面确认后具有约束力。投标人不接受修正价格的，其投标作废标处理。</w:t>
      </w:r>
    </w:p>
    <w:p w14:paraId="506E0BD4">
      <w:pPr>
        <w:tabs>
          <w:tab w:val="left" w:pos="0"/>
          <w:tab w:val="left" w:pos="1134"/>
        </w:tabs>
        <w:spacing w:line="360" w:lineRule="auto"/>
        <w:ind w:firstLine="560"/>
        <w:rPr>
          <w:rFonts w:hint="eastAsia" w:ascii="宋体" w:hAnsi="宋体"/>
          <w:snapToGrid w:val="0"/>
          <w:sz w:val="24"/>
        </w:rPr>
      </w:pPr>
      <w:r>
        <w:rPr>
          <w:rFonts w:hint="eastAsia" w:ascii="宋体" w:hAnsi="宋体" w:cs="Arial"/>
          <w:snapToGrid w:val="0"/>
          <w:sz w:val="24"/>
        </w:rPr>
        <w:t>（</w:t>
      </w:r>
      <w:r>
        <w:rPr>
          <w:rFonts w:ascii="宋体" w:hAnsi="宋体"/>
          <w:snapToGrid w:val="0"/>
          <w:sz w:val="24"/>
        </w:rPr>
        <w:t>1</w:t>
      </w:r>
      <w:r>
        <w:rPr>
          <w:rFonts w:hint="eastAsia" w:ascii="宋体" w:hAnsi="宋体"/>
          <w:snapToGrid w:val="0"/>
          <w:sz w:val="24"/>
        </w:rPr>
        <w:t>）投标文件中的大写金额与小写金额不一致的，以大写金额为准；</w:t>
      </w:r>
    </w:p>
    <w:p w14:paraId="01F4C92C">
      <w:pPr>
        <w:tabs>
          <w:tab w:val="left" w:pos="0"/>
          <w:tab w:val="left" w:pos="1134"/>
        </w:tabs>
        <w:spacing w:line="360" w:lineRule="auto"/>
        <w:ind w:firstLine="560"/>
        <w:rPr>
          <w:rFonts w:hint="eastAsia" w:ascii="宋体" w:hAnsi="宋体"/>
          <w:snapToGrid w:val="0"/>
          <w:sz w:val="24"/>
        </w:rPr>
      </w:pPr>
      <w:r>
        <w:rPr>
          <w:rFonts w:hint="eastAsia" w:ascii="宋体" w:hAnsi="宋体" w:cs="Arial"/>
          <w:snapToGrid w:val="0"/>
          <w:sz w:val="24"/>
        </w:rPr>
        <w:t>（</w:t>
      </w:r>
      <w:r>
        <w:rPr>
          <w:rFonts w:ascii="宋体" w:hAnsi="宋体"/>
          <w:snapToGrid w:val="0"/>
          <w:sz w:val="24"/>
        </w:rPr>
        <w:t>2</w:t>
      </w:r>
      <w:r>
        <w:rPr>
          <w:rFonts w:hint="eastAsia" w:ascii="宋体" w:hAnsi="宋体"/>
          <w:snapToGrid w:val="0"/>
          <w:sz w:val="24"/>
        </w:rPr>
        <w:t>）总价金额与依据单价计算出的结果不一致的，以单价金额为准修正总价，但单价金额小数点有明显错误的除外。</w:t>
      </w:r>
    </w:p>
    <w:p w14:paraId="58AEC688">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4）澄清、说明或补正</w:t>
      </w:r>
    </w:p>
    <w:p w14:paraId="3C436760">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在初步评审过程中，评标委员会应当就投标文件中不明确的内容要求投标人进行澄清．</w:t>
      </w:r>
    </w:p>
    <w:p w14:paraId="073832D0">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5、详细评审</w:t>
      </w:r>
    </w:p>
    <w:p w14:paraId="58397DCA">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只有通过了初步评审、被判定为合格的投标方可进入详细评审。</w:t>
      </w:r>
    </w:p>
    <w:p w14:paraId="0D7D6126">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1）详细评审</w:t>
      </w:r>
    </w:p>
    <w:p w14:paraId="6D14715C">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（1）初步评审完成后，评标委员会应当根据招标文件确定的评标标准和方法，对投标文件进行详细的评审和比较。</w:t>
      </w:r>
    </w:p>
    <w:p w14:paraId="2F23C2AA">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（2）投标文件未通过初步评审的，视为无效投标文件，不得进入详细评审。</w:t>
      </w:r>
    </w:p>
    <w:p w14:paraId="02F200C2">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（3）在详细评审阶段，对投标报价的评审应当以初步评审后得出的价格为依据。</w:t>
      </w:r>
    </w:p>
    <w:p w14:paraId="77F77C78">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2）在评标过程中，评标委员会成员对同一问题意见不一致的，按照少数服从多数的原则形成评标结论。</w:t>
      </w:r>
    </w:p>
    <w:p w14:paraId="1E5526C3">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3）经过初步评审后的投标文件及投标人按照要求对其投标文件作出的澄清、说明、补正内容，成为其投标文件组成部分。施工合同将以包含上述文件的投标文件及招标文件内容为基准进行签订和执行。</w:t>
      </w:r>
    </w:p>
    <w:p w14:paraId="760D14E2">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4） 评标过程中，数据和评分的计算过程和计算结果（除特别注明的）均保留两位小数，小数点后的第三位四舍五入。</w:t>
      </w:r>
    </w:p>
    <w:p w14:paraId="19078D40">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6、重大偏差的认定投标文件有下述情形之一的，属于重大偏差，视为未能对招标文件做出实质性响应，作废标处理：</w:t>
      </w:r>
    </w:p>
    <w:p w14:paraId="0F7D32E6">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1）投标文件中的投标函未加盖投标人的公章及企业法定代表人印章或委托代理人印章的，或者企业法定代表人委托代理人没有合法、有效的委托书（原件）的；</w:t>
      </w:r>
    </w:p>
    <w:p w14:paraId="43CC0ACC">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2）未通过资格审查的；</w:t>
      </w:r>
    </w:p>
    <w:p w14:paraId="5F9DE271">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3）未按招标文件规定的格式填写，内容不全或关键字迹模糊、无法辨认的；</w:t>
      </w:r>
    </w:p>
    <w:p w14:paraId="2FAF29EF">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4）投标人递交两份或多份内容不同的投标文件，或在一份投标文件中对同一招标项目报有两个或多个报价，且未声明哪一个有效，按招标文件规定提交备选投标方案的除外；</w:t>
      </w:r>
    </w:p>
    <w:p w14:paraId="34FD953B">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5）投标人资格条件不符合国家有关规定或招标文件要求的；</w:t>
      </w:r>
    </w:p>
    <w:p w14:paraId="4CC07869">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6）投标文件载明的招标项目完成期限超过招标文件规定的期限；</w:t>
      </w:r>
    </w:p>
    <w:p w14:paraId="405A1ACD">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7）明显不符合技术规范、技术标准的要求；</w:t>
      </w:r>
    </w:p>
    <w:p w14:paraId="092A8D6E">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8）投标报价超过招标文件规定的投标上限价或招标人期望值的；</w:t>
      </w:r>
    </w:p>
    <w:p w14:paraId="05A44D79">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9）不同投标人的投标文件出现了评标委员会认为不应当雷同的情况；</w:t>
      </w:r>
    </w:p>
    <w:p w14:paraId="449B0775">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10）未按工程量清单计价方式编制投标报价的；</w:t>
      </w:r>
    </w:p>
    <w:p w14:paraId="6912C47E">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11）投标文件载明的货物包装方式、检验标准和方法等不符合招标文件的要求；</w:t>
      </w:r>
    </w:p>
    <w:p w14:paraId="28341852">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12）投标文件提出了不能满足招标文件要求或招标人不能接受的工程验收、计量、价款结算支付办法；</w:t>
      </w:r>
    </w:p>
    <w:p w14:paraId="73CF740E">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13）以他人的名义投标、串通投标、以行贿手段谋取中标或者以其他弄虚作假方式投标的；</w:t>
      </w:r>
    </w:p>
    <w:p w14:paraId="51AC7F61">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14）经评标委员会认定投标人的投标报价低于成本价的；</w:t>
      </w:r>
    </w:p>
    <w:p w14:paraId="62C06050">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15）投标人未按照招标文件的要求提供必须提交的相关资料的；</w:t>
      </w:r>
    </w:p>
    <w:p w14:paraId="05B10825">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16）投标文件附有招标人不能接受的条件；</w:t>
      </w:r>
    </w:p>
    <w:p w14:paraId="66557DB3">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17）投标文件中提供虚假资料的；</w:t>
      </w:r>
    </w:p>
    <w:p w14:paraId="196FCD30">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18）投标截止时间时，授权委托人未携带有效证明到开标会现场的。</w:t>
      </w:r>
    </w:p>
    <w:p w14:paraId="5F232DB2">
      <w:pPr>
        <w:tabs>
          <w:tab w:val="left" w:pos="0"/>
          <w:tab w:val="left" w:pos="1134"/>
        </w:tabs>
        <w:spacing w:line="360" w:lineRule="auto"/>
        <w:ind w:firstLine="560"/>
        <w:rPr>
          <w:rFonts w:hint="eastAsia" w:ascii="宋体" w:hAnsi="宋体"/>
          <w:snapToGrid w:val="0"/>
          <w:sz w:val="24"/>
        </w:rPr>
      </w:pPr>
      <w:r>
        <w:rPr>
          <w:rFonts w:hint="eastAsia" w:ascii="宋体" w:hAnsi="宋体"/>
          <w:snapToGrid w:val="0"/>
          <w:sz w:val="24"/>
        </w:rPr>
        <w:t>19）与招标文件提供的工程量清单中的项目名称、项目特征、计量单位、工程量不一致的或与招标文件规定的暂估价、暂列金额不一致的；</w:t>
      </w:r>
    </w:p>
    <w:p w14:paraId="69887E67">
      <w:pPr>
        <w:tabs>
          <w:tab w:val="left" w:pos="0"/>
          <w:tab w:val="left" w:pos="993"/>
          <w:tab w:val="left" w:pos="1134"/>
        </w:tabs>
        <w:spacing w:line="360" w:lineRule="auto"/>
        <w:ind w:firstLine="480" w:firstLineChars="200"/>
        <w:rPr>
          <w:rFonts w:hint="eastAsia" w:ascii="宋体" w:hAnsi="宋体"/>
          <w:snapToGrid w:val="0"/>
          <w:sz w:val="24"/>
        </w:rPr>
      </w:pPr>
      <w:r>
        <w:rPr>
          <w:rFonts w:hint="eastAsia" w:ascii="宋体" w:hAnsi="宋体"/>
          <w:snapToGrid w:val="0"/>
          <w:sz w:val="24"/>
        </w:rPr>
        <w:t>在评标过程中，评标委员会若发现投标人以他人的名义投标、串通投标、以行贿手段谋取中标或者以其他弄虚作假方式投标的，该投标人的投标将作废标处理，并将有关情况在评标报告中予以纪录，由招投标监管部门依据相关法律法规进行处罚。</w:t>
      </w:r>
    </w:p>
    <w:p w14:paraId="3B1F0E06">
      <w:pPr>
        <w:adjustRightInd w:val="0"/>
        <w:snapToGrid w:val="0"/>
        <w:spacing w:line="360" w:lineRule="auto"/>
        <w:ind w:firstLine="480" w:firstLineChars="200"/>
        <w:rPr>
          <w:rFonts w:hint="eastAsia" w:ascii="宋体" w:hAnsi="宋体"/>
          <w:snapToGrid w:val="0"/>
          <w:sz w:val="24"/>
        </w:rPr>
      </w:pPr>
      <w:r>
        <w:rPr>
          <w:rFonts w:hint="eastAsia" w:ascii="宋体" w:hAnsi="宋体" w:cs="Arial"/>
          <w:bCs/>
          <w:snapToGrid w:val="0"/>
          <w:sz w:val="24"/>
        </w:rPr>
        <w:t>评标委员会根据规定否决不合格投标或者界定为废标后，因有效投标不足三个使得投标明显缺乏竞争的，评标委员会可以否决全部投标。所有投标被否决的，招标人依法重新招标</w:t>
      </w:r>
      <w:r>
        <w:rPr>
          <w:rFonts w:hint="eastAsia" w:ascii="宋体" w:hAnsi="宋体" w:cs="Arial"/>
          <w:snapToGrid w:val="0"/>
          <w:sz w:val="24"/>
        </w:rPr>
        <w:t>。</w:t>
      </w:r>
    </w:p>
    <w:p w14:paraId="6A860849">
      <w:pPr>
        <w:tabs>
          <w:tab w:val="left" w:pos="0"/>
          <w:tab w:val="left" w:pos="993"/>
          <w:tab w:val="left" w:pos="1134"/>
        </w:tabs>
        <w:adjustRightInd w:val="0"/>
        <w:snapToGrid w:val="0"/>
        <w:spacing w:line="360" w:lineRule="auto"/>
        <w:ind w:firstLine="567"/>
        <w:rPr>
          <w:rFonts w:hint="eastAsia" w:cs="楷体_GB2312" w:asciiTheme="minorEastAsia" w:hAnsiTheme="minorEastAsia" w:eastAsiaTheme="minorEastAsia"/>
          <w:snapToGrid w:val="0"/>
          <w:sz w:val="24"/>
          <w:szCs w:val="24"/>
        </w:rPr>
      </w:pPr>
      <w:r>
        <w:rPr>
          <w:rFonts w:hint="eastAsia" w:ascii="宋体" w:hAnsi="宋体" w:cs="Arial"/>
          <w:b/>
          <w:bCs/>
          <w:snapToGrid w:val="0"/>
          <w:sz w:val="24"/>
        </w:rPr>
        <w:t>7、评标标准和方法</w:t>
      </w:r>
      <w:r>
        <w:rPr>
          <w:rFonts w:ascii="宋体" w:hAnsi="宋体" w:cs="Arial"/>
          <w:b/>
          <w:bCs/>
          <w:snapToGrid w:val="0"/>
          <w:sz w:val="24"/>
        </w:rPr>
        <w:t xml:space="preserve">: </w:t>
      </w:r>
      <w:r>
        <w:rPr>
          <w:rFonts w:hint="eastAsia" w:cs="楷体_GB2312" w:asciiTheme="minorEastAsia" w:hAnsiTheme="minorEastAsia" w:eastAsiaTheme="minorEastAsia"/>
          <w:b/>
          <w:snapToGrid w:val="0"/>
          <w:sz w:val="24"/>
          <w:szCs w:val="24"/>
        </w:rPr>
        <w:t>本次招标采用</w:t>
      </w:r>
      <w:r>
        <w:rPr>
          <w:rFonts w:hint="eastAsia" w:cs="楷体_GB2312" w:asciiTheme="minorEastAsia" w:hAnsiTheme="minorEastAsia" w:eastAsiaTheme="minorEastAsia"/>
          <w:b/>
          <w:kern w:val="0"/>
          <w:sz w:val="24"/>
          <w:szCs w:val="24"/>
        </w:rPr>
        <w:t>经评审的最低投标价法</w:t>
      </w:r>
    </w:p>
    <w:p w14:paraId="4D779022">
      <w:pPr>
        <w:tabs>
          <w:tab w:val="left" w:pos="2127"/>
        </w:tabs>
        <w:adjustRightInd w:val="0"/>
        <w:snapToGrid w:val="0"/>
        <w:spacing w:line="360" w:lineRule="auto"/>
        <w:ind w:firstLine="600" w:firstLineChars="250"/>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8、定标</w:t>
      </w:r>
    </w:p>
    <w:p w14:paraId="0EB68D2D">
      <w:pPr>
        <w:tabs>
          <w:tab w:val="left" w:pos="2127"/>
        </w:tabs>
        <w:adjustRightInd w:val="0"/>
        <w:snapToGrid w:val="0"/>
        <w:spacing w:line="360" w:lineRule="auto"/>
        <w:ind w:firstLine="480" w:firstLineChars="200"/>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评标委员会完成评标后，应当向招标人提出书面评标报告，阐明评标委员会对各投标文件的评审和比较意见，并按照招标文件中规定的评标方法，推荐</w:t>
      </w:r>
      <w:r>
        <w:rPr>
          <w:rFonts w:cs="楷体_GB2312" w:asciiTheme="minorEastAsia" w:hAnsiTheme="minorEastAsia" w:eastAsiaTheme="minorEastAsia"/>
          <w:snapToGrid w:val="0"/>
          <w:sz w:val="24"/>
          <w:szCs w:val="24"/>
        </w:rPr>
        <w:t>3</w:t>
      </w:r>
      <w:r>
        <w:rPr>
          <w:rFonts w:hint="eastAsia" w:cs="楷体_GB2312" w:asciiTheme="minorEastAsia" w:hAnsiTheme="minorEastAsia" w:eastAsiaTheme="minorEastAsia"/>
          <w:snapToGrid w:val="0"/>
          <w:sz w:val="24"/>
          <w:szCs w:val="24"/>
        </w:rPr>
        <w:t>名有排序的合格中标候选人。</w:t>
      </w:r>
    </w:p>
    <w:p w14:paraId="010A912D">
      <w:pPr>
        <w:adjustRightInd w:val="0"/>
        <w:snapToGrid w:val="0"/>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9、排序原则：</w:t>
      </w:r>
    </w:p>
    <w:p w14:paraId="579256CF">
      <w:pPr>
        <w:adjustRightInd w:val="0"/>
        <w:snapToGrid w:val="0"/>
        <w:spacing w:line="360" w:lineRule="auto"/>
        <w:ind w:firstLine="482" w:firstLineChars="200"/>
        <w:rPr>
          <w:rFonts w:hint="eastAsia" w:asciiTheme="minorEastAsia" w:hAnsiTheme="minorEastAsia" w:eastAsiaTheme="minorEastAsia"/>
          <w:b/>
          <w:snapToGrid w:val="0"/>
          <w:sz w:val="24"/>
          <w:szCs w:val="24"/>
        </w:rPr>
      </w:pPr>
      <w:r>
        <w:rPr>
          <w:rFonts w:hint="eastAsia" w:asciiTheme="minorEastAsia" w:hAnsiTheme="minorEastAsia" w:eastAsiaTheme="minorEastAsia"/>
          <w:b/>
          <w:snapToGrid w:val="0"/>
          <w:sz w:val="24"/>
          <w:szCs w:val="24"/>
        </w:rPr>
        <w:t>经评审的最低价法：按照经评审的投标价由低到高的顺序推选中标候选人。</w:t>
      </w:r>
    </w:p>
    <w:p w14:paraId="1C2E30BD">
      <w:pPr>
        <w:adjustRightInd w:val="0"/>
        <w:snapToGrid w:val="0"/>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10、确定中标人的原则：招标人按照评委会的书面评标报告中的中标候选人排序，确定排名第一的为中标人。当排名第一的中标候选人放弃中标、因不可抗力提出不能履行合同或者未按本招标文件的规定提交履约保证金的，招标人可以确定排名第二的中标候选人为中标人；排名第二的中标候选人因同样的原因不能签订合同的，招标人可以确定排名第三的中标候选人为中标人。</w:t>
      </w:r>
    </w:p>
    <w:p w14:paraId="30AA26EB">
      <w:pPr>
        <w:adjustRightInd w:val="0"/>
        <w:snapToGrid w:val="0"/>
        <w:spacing w:line="360" w:lineRule="auto"/>
        <w:ind w:firstLine="480" w:firstLineChars="200"/>
        <w:rPr>
          <w:rFonts w:hint="eastAsia"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11、评标和定标将在投标有效期结束日 30 个工作日前完成。不能在投标有效期结束日 30 个工作日前完成评标和定标的，招标人将通知所有投标人延长投标有效期。拒绝延长投标有效期的投标人有权撤回其投标。同意延长投标有效期的投标人不得修改投标文件的实质性内容。</w:t>
      </w:r>
    </w:p>
    <w:p w14:paraId="1B0FF9B2">
      <w:pPr>
        <w:adjustRightInd w:val="0"/>
        <w:snapToGrid w:val="0"/>
        <w:spacing w:line="360" w:lineRule="auto"/>
        <w:ind w:firstLine="480" w:firstLineChars="200"/>
        <w:rPr>
          <w:rFonts w:hint="eastAsia"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12、有效投标单位低于3家，则此次评标作流标处理。</w:t>
      </w:r>
    </w:p>
    <w:p w14:paraId="281D12B7">
      <w:pPr>
        <w:adjustRightInd w:val="0"/>
        <w:snapToGrid w:val="0"/>
        <w:spacing w:line="360" w:lineRule="auto"/>
        <w:ind w:firstLine="562" w:firstLineChars="200"/>
        <w:rPr>
          <w:rFonts w:hint="eastAsia" w:asciiTheme="minorEastAsia" w:hAnsiTheme="minorEastAsia" w:eastAsiaTheme="minorEastAsia"/>
          <w:b/>
          <w:bCs/>
          <w:snapToGrid w:val="0"/>
          <w:sz w:val="28"/>
          <w:szCs w:val="28"/>
        </w:rPr>
      </w:pPr>
    </w:p>
    <w:p w14:paraId="6B50E6DE">
      <w:pPr>
        <w:tabs>
          <w:tab w:val="left" w:pos="0"/>
          <w:tab w:val="left" w:pos="993"/>
          <w:tab w:val="left" w:pos="1134"/>
        </w:tabs>
        <w:adjustRightInd w:val="0"/>
        <w:snapToGrid w:val="0"/>
        <w:spacing w:line="360" w:lineRule="auto"/>
        <w:jc w:val="center"/>
        <w:rPr>
          <w:rFonts w:hint="eastAsia" w:cs="楷体_GB2312" w:asciiTheme="minorEastAsia" w:hAnsiTheme="minorEastAsia" w:eastAsiaTheme="minorEastAsia"/>
          <w:b/>
          <w:bCs/>
          <w:snapToGrid w:val="0"/>
          <w:sz w:val="28"/>
          <w:szCs w:val="28"/>
        </w:rPr>
      </w:pPr>
    </w:p>
    <w:p w14:paraId="5DEBF5D1">
      <w:pPr>
        <w:jc w:val="center"/>
        <w:rPr>
          <w:rFonts w:hint="eastAsia" w:asciiTheme="minorEastAsia" w:hAnsiTheme="minorEastAsia" w:eastAsiaTheme="minorEastAsia"/>
          <w:b/>
          <w:bCs/>
          <w:snapToGrid w:val="0"/>
          <w:sz w:val="28"/>
          <w:szCs w:val="28"/>
        </w:rPr>
      </w:pPr>
      <w:r>
        <w:rPr>
          <w:rFonts w:cs="楷体_GB2312" w:asciiTheme="minorEastAsia" w:hAnsiTheme="minorEastAsia" w:eastAsiaTheme="minorEastAsia"/>
          <w:b/>
          <w:bCs/>
          <w:snapToGrid w:val="0"/>
          <w:sz w:val="28"/>
          <w:szCs w:val="28"/>
        </w:rPr>
        <w:br w:type="page"/>
      </w:r>
      <w:r>
        <w:rPr>
          <w:rFonts w:hint="eastAsia" w:cs="楷体_GB2312" w:asciiTheme="minorEastAsia" w:hAnsiTheme="minorEastAsia" w:eastAsiaTheme="minorEastAsia"/>
          <w:b/>
          <w:bCs/>
          <w:snapToGrid w:val="0"/>
          <w:sz w:val="28"/>
          <w:szCs w:val="28"/>
        </w:rPr>
        <w:t>八、授予合同</w:t>
      </w:r>
    </w:p>
    <w:p w14:paraId="5E578DD2">
      <w:pPr>
        <w:tabs>
          <w:tab w:val="left" w:pos="0"/>
          <w:tab w:val="left" w:pos="993"/>
          <w:tab w:val="left" w:pos="1134"/>
        </w:tabs>
        <w:adjustRightInd w:val="0"/>
        <w:snapToGrid w:val="0"/>
        <w:spacing w:line="360" w:lineRule="auto"/>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（一）中标</w:t>
      </w:r>
    </w:p>
    <w:p w14:paraId="20232487">
      <w:pPr>
        <w:tabs>
          <w:tab w:val="left" w:pos="0"/>
          <w:tab w:val="left" w:pos="993"/>
          <w:tab w:val="left" w:pos="1134"/>
        </w:tabs>
        <w:adjustRightInd w:val="0"/>
        <w:snapToGrid w:val="0"/>
        <w:spacing w:line="360" w:lineRule="auto"/>
        <w:ind w:firstLine="567"/>
        <w:rPr>
          <w:rFonts w:hint="eastAsia" w:cs="楷体_GB2312" w:asciiTheme="minorEastAsia" w:hAnsiTheme="minorEastAsia" w:eastAsiaTheme="minorEastAsia"/>
          <w:snapToGrid w:val="0"/>
          <w:sz w:val="24"/>
          <w:szCs w:val="24"/>
        </w:rPr>
      </w:pPr>
      <w:r>
        <w:rPr>
          <w:rFonts w:cs="楷体_GB2312" w:asciiTheme="minorEastAsia" w:hAnsiTheme="minorEastAsia" w:eastAsiaTheme="minorEastAsia"/>
          <w:snapToGrid w:val="0"/>
          <w:sz w:val="24"/>
          <w:szCs w:val="24"/>
        </w:rPr>
        <w:t>1</w:t>
      </w:r>
      <w:r>
        <w:rPr>
          <w:rFonts w:hint="eastAsia" w:cs="楷体_GB2312" w:asciiTheme="minorEastAsia" w:hAnsiTheme="minorEastAsia" w:eastAsiaTheme="minorEastAsia"/>
          <w:snapToGrid w:val="0"/>
          <w:sz w:val="24"/>
          <w:szCs w:val="24"/>
        </w:rPr>
        <w:t>、根据工程招标投标的有关法律、法规、规章和该工程招标文件的规定，评标委员会推荐排序第一名的中标候选人为中标人，未有质疑的，招标人将向中标单位发出中标通知书，并同时通知其他投标人。中标通知书将成为合同的组成部分。</w:t>
      </w:r>
    </w:p>
    <w:p w14:paraId="5CE5525C">
      <w:pPr>
        <w:tabs>
          <w:tab w:val="left" w:pos="0"/>
          <w:tab w:val="left" w:pos="993"/>
          <w:tab w:val="left" w:pos="1134"/>
        </w:tabs>
        <w:adjustRightInd w:val="0"/>
        <w:snapToGrid w:val="0"/>
        <w:spacing w:line="360" w:lineRule="auto"/>
        <w:ind w:firstLine="567"/>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2、中标单位收到中标通知书后，应在</w:t>
      </w:r>
      <w:r>
        <w:rPr>
          <w:rFonts w:cs="楷体_GB2312" w:asciiTheme="minorEastAsia" w:hAnsiTheme="minorEastAsia" w:eastAsiaTheme="minorEastAsia"/>
          <w:snapToGrid w:val="0"/>
          <w:sz w:val="24"/>
          <w:szCs w:val="24"/>
        </w:rPr>
        <w:t>30</w:t>
      </w:r>
      <w:r>
        <w:rPr>
          <w:rFonts w:hint="eastAsia" w:cs="楷体_GB2312" w:asciiTheme="minorEastAsia" w:hAnsiTheme="minorEastAsia" w:eastAsiaTheme="minorEastAsia"/>
          <w:snapToGrid w:val="0"/>
          <w:sz w:val="24"/>
          <w:szCs w:val="24"/>
        </w:rPr>
        <w:t>日内与招标人签订合同。中标人不与招标人订立合同的，取消其中标资格，给招标人造成的损失，应当对招标人的损失承担赔偿责任。</w:t>
      </w:r>
    </w:p>
    <w:p w14:paraId="550C1430">
      <w:pPr>
        <w:tabs>
          <w:tab w:val="left" w:pos="0"/>
          <w:tab w:val="left" w:pos="993"/>
          <w:tab w:val="left" w:pos="1134"/>
        </w:tabs>
        <w:adjustRightInd w:val="0"/>
        <w:snapToGrid w:val="0"/>
        <w:spacing w:line="360" w:lineRule="auto"/>
        <w:ind w:firstLine="567"/>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3、招标人不得向中标人提出压低报价、增加工作量、缩短工期或其他违背中标人意愿的要求，以此作为发出中标通知书和签订合同的条件。</w:t>
      </w:r>
    </w:p>
    <w:p w14:paraId="00E541AC">
      <w:pPr>
        <w:tabs>
          <w:tab w:val="left" w:pos="0"/>
          <w:tab w:val="left" w:pos="993"/>
          <w:tab w:val="left" w:pos="1134"/>
        </w:tabs>
        <w:adjustRightInd w:val="0"/>
        <w:snapToGrid w:val="0"/>
        <w:spacing w:line="360" w:lineRule="auto"/>
        <w:rPr>
          <w:rFonts w:hint="eastAsia"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（二）合同签订</w:t>
      </w:r>
    </w:p>
    <w:p w14:paraId="31FEF0E8">
      <w:pPr>
        <w:tabs>
          <w:tab w:val="left" w:pos="0"/>
          <w:tab w:val="left" w:pos="1134"/>
        </w:tabs>
        <w:adjustRightInd w:val="0"/>
        <w:snapToGrid w:val="0"/>
        <w:spacing w:line="360" w:lineRule="auto"/>
        <w:ind w:firstLine="566" w:firstLineChars="236"/>
        <w:rPr>
          <w:rStyle w:val="84"/>
          <w:rFonts w:hint="eastAsia" w:cs="楷体_GB2312" w:asciiTheme="minorEastAsia" w:hAnsiTheme="minorEastAsia" w:eastAsiaTheme="minorEastAsia"/>
          <w:color w:val="auto"/>
        </w:rPr>
      </w:pPr>
      <w:r>
        <w:rPr>
          <w:rFonts w:hint="eastAsia" w:cs="楷体_GB2312" w:asciiTheme="minorEastAsia" w:hAnsiTheme="minorEastAsia" w:eastAsiaTheme="minorEastAsia"/>
          <w:snapToGrid w:val="0"/>
          <w:sz w:val="24"/>
          <w:szCs w:val="24"/>
        </w:rPr>
        <w:t>招标人与承包人将根据《中华人民共和国民法典》的规定，依据招标文件和投标文件签订施工合同。</w:t>
      </w:r>
      <w:r>
        <w:rPr>
          <w:rStyle w:val="84"/>
          <w:rFonts w:hint="eastAsia" w:cs="楷体_GB2312" w:asciiTheme="minorEastAsia" w:hAnsiTheme="minorEastAsia" w:eastAsiaTheme="minorEastAsia"/>
          <w:color w:val="auto"/>
        </w:rPr>
        <w:t>招标人和中标人不得再行订立背离合同实质性内容的其他协议。</w:t>
      </w:r>
    </w:p>
    <w:p w14:paraId="0DFBCB16">
      <w:pPr>
        <w:rPr>
          <w:lang w:bidi="en-US"/>
        </w:rPr>
        <w:sectPr>
          <w:headerReference r:id="rId4" w:type="default"/>
          <w:footerReference r:id="rId5" w:type="default"/>
          <w:pgSz w:w="11900" w:h="16841"/>
          <w:pgMar w:top="1440" w:right="1440" w:bottom="1440" w:left="1080" w:header="0" w:footer="0" w:gutter="0"/>
          <w:cols w:space="720" w:num="1"/>
          <w:docGrid w:linePitch="360" w:charSpace="0"/>
        </w:sectPr>
      </w:pPr>
      <w:bookmarkStart w:id="14" w:name="_Toc257704367"/>
    </w:p>
    <w:p w14:paraId="50974FC2">
      <w:pPr>
        <w:rPr>
          <w:lang w:bidi="en-US"/>
        </w:rPr>
      </w:pPr>
    </w:p>
    <w:p w14:paraId="1F9D11A5">
      <w:pPr>
        <w:pStyle w:val="201"/>
        <w:keepNext w:val="0"/>
        <w:keepLines w:val="0"/>
        <w:widowControl w:val="0"/>
        <w:adjustRightInd w:val="0"/>
        <w:snapToGrid w:val="0"/>
        <w:spacing w:before="0" w:after="0" w:line="360" w:lineRule="auto"/>
        <w:jc w:val="center"/>
        <w:outlineLvl w:val="0"/>
        <w:rPr>
          <w:rFonts w:hint="eastAsia" w:ascii="华文中宋" w:hAnsi="华文中宋" w:eastAsia="华文中宋"/>
          <w:sz w:val="32"/>
          <w:szCs w:val="32"/>
          <w:lang w:eastAsia="zh-CN"/>
        </w:rPr>
      </w:pPr>
      <w:r>
        <w:rPr>
          <w:rFonts w:hint="eastAsia" w:ascii="华文中宋" w:hAnsi="华文中宋" w:eastAsia="华文中宋"/>
          <w:sz w:val="32"/>
          <w:szCs w:val="32"/>
          <w:lang w:eastAsia="zh-CN"/>
        </w:rPr>
        <w:t>第二章  合 同</w:t>
      </w:r>
    </w:p>
    <w:p w14:paraId="359E3353">
      <w:pPr>
        <w:rPr>
          <w:rFonts w:eastAsia="仿宋_GB2312"/>
          <w:bCs/>
          <w:sz w:val="32"/>
          <w:szCs w:val="32"/>
        </w:rPr>
      </w:pPr>
      <w:r>
        <w:rPr>
          <w:rFonts w:eastAsia="仿宋_GB2312"/>
          <w:bCs/>
          <w:sz w:val="32"/>
          <w:szCs w:val="32"/>
        </w:rPr>
        <w:t>（GF—201</w:t>
      </w:r>
      <w:r>
        <w:rPr>
          <w:rFonts w:hint="eastAsia" w:eastAsia="仿宋_GB2312"/>
          <w:bCs/>
          <w:sz w:val="32"/>
          <w:szCs w:val="32"/>
        </w:rPr>
        <w:t>7</w:t>
      </w:r>
      <w:r>
        <w:rPr>
          <w:rFonts w:eastAsia="仿宋_GB2312"/>
          <w:bCs/>
          <w:sz w:val="32"/>
          <w:szCs w:val="32"/>
        </w:rPr>
        <w:t>—</w:t>
      </w:r>
      <w:r>
        <w:rPr>
          <w:rFonts w:hint="eastAsia" w:eastAsia="仿宋_GB2312"/>
          <w:bCs/>
          <w:sz w:val="32"/>
          <w:szCs w:val="32"/>
        </w:rPr>
        <w:t>0201）</w:t>
      </w:r>
    </w:p>
    <w:p w14:paraId="39CC13C4">
      <w:pPr>
        <w:jc w:val="center"/>
        <w:rPr>
          <w:rFonts w:eastAsia="华文中宋"/>
          <w:b/>
          <w:sz w:val="52"/>
          <w:szCs w:val="52"/>
        </w:rPr>
      </w:pPr>
    </w:p>
    <w:p w14:paraId="7EEF041F">
      <w:pPr>
        <w:jc w:val="center"/>
        <w:rPr>
          <w:rFonts w:eastAsia="华文中宋"/>
          <w:b/>
          <w:sz w:val="52"/>
          <w:szCs w:val="52"/>
        </w:rPr>
      </w:pPr>
    </w:p>
    <w:p w14:paraId="1CA6A929">
      <w:pPr>
        <w:jc w:val="center"/>
        <w:rPr>
          <w:rFonts w:eastAsia="华文中宋"/>
          <w:b/>
          <w:sz w:val="52"/>
          <w:szCs w:val="52"/>
        </w:rPr>
      </w:pPr>
    </w:p>
    <w:p w14:paraId="0FBDE437">
      <w:pPr>
        <w:jc w:val="center"/>
        <w:rPr>
          <w:rFonts w:eastAsia="华文中宋"/>
          <w:b/>
          <w:sz w:val="52"/>
          <w:szCs w:val="52"/>
        </w:rPr>
      </w:pPr>
    </w:p>
    <w:p w14:paraId="0C46775A">
      <w:pPr>
        <w:jc w:val="center"/>
        <w:rPr>
          <w:rFonts w:eastAsia="华文中宋"/>
          <w:b/>
          <w:sz w:val="52"/>
          <w:szCs w:val="52"/>
        </w:rPr>
      </w:pPr>
    </w:p>
    <w:p w14:paraId="2F619B9E">
      <w:pPr>
        <w:jc w:val="center"/>
        <w:rPr>
          <w:rFonts w:eastAsia="华文中宋"/>
          <w:b/>
          <w:sz w:val="72"/>
          <w:szCs w:val="52"/>
        </w:rPr>
      </w:pPr>
      <w:r>
        <w:rPr>
          <w:rFonts w:eastAsia="华文中宋"/>
          <w:b/>
          <w:sz w:val="72"/>
          <w:szCs w:val="52"/>
        </w:rPr>
        <w:t>建设工程施工合同</w:t>
      </w:r>
    </w:p>
    <w:p w14:paraId="0D9972C6">
      <w:pPr>
        <w:jc w:val="center"/>
        <w:rPr>
          <w:rFonts w:eastAsia="华文中宋"/>
          <w:b/>
          <w:sz w:val="52"/>
          <w:szCs w:val="52"/>
        </w:rPr>
      </w:pPr>
      <w:r>
        <w:rPr>
          <w:rFonts w:eastAsia="华文中宋"/>
          <w:b/>
          <w:sz w:val="52"/>
          <w:szCs w:val="52"/>
        </w:rPr>
        <w:t>（示范文本）</w:t>
      </w:r>
    </w:p>
    <w:p w14:paraId="54046C47">
      <w:pPr>
        <w:jc w:val="center"/>
        <w:rPr>
          <w:rFonts w:eastAsia="华文中宋"/>
          <w:b/>
          <w:sz w:val="52"/>
          <w:szCs w:val="52"/>
        </w:rPr>
      </w:pPr>
    </w:p>
    <w:p w14:paraId="2D71A087">
      <w:pPr>
        <w:jc w:val="center"/>
        <w:rPr>
          <w:rFonts w:eastAsia="华文中宋"/>
          <w:b/>
          <w:sz w:val="52"/>
          <w:szCs w:val="52"/>
        </w:rPr>
      </w:pPr>
    </w:p>
    <w:p w14:paraId="0962EA1C">
      <w:pPr>
        <w:jc w:val="center"/>
        <w:rPr>
          <w:rFonts w:eastAsia="华文中宋"/>
          <w:b/>
          <w:sz w:val="52"/>
          <w:szCs w:val="52"/>
        </w:rPr>
      </w:pPr>
    </w:p>
    <w:p w14:paraId="32E721EA">
      <w:pPr>
        <w:jc w:val="center"/>
        <w:rPr>
          <w:rFonts w:eastAsia="华文中宋"/>
          <w:b/>
          <w:sz w:val="52"/>
          <w:szCs w:val="52"/>
        </w:rPr>
      </w:pPr>
    </w:p>
    <w:p w14:paraId="17B8EC5E">
      <w:pPr>
        <w:jc w:val="center"/>
        <w:rPr>
          <w:rFonts w:eastAsia="黑体"/>
          <w:b/>
          <w:sz w:val="72"/>
          <w:szCs w:val="72"/>
        </w:rPr>
      </w:pPr>
    </w:p>
    <w:p w14:paraId="2F37EDA8">
      <w:pPr>
        <w:rPr>
          <w:b/>
          <w:sz w:val="28"/>
          <w:szCs w:val="28"/>
        </w:rPr>
      </w:pPr>
    </w:p>
    <w:p w14:paraId="0ECB7868">
      <w:pPr>
        <w:rPr>
          <w:b/>
          <w:sz w:val="28"/>
          <w:szCs w:val="28"/>
        </w:rPr>
      </w:pPr>
    </w:p>
    <w:p w14:paraId="04A3A64F">
      <w:pPr>
        <w:rPr>
          <w:b/>
          <w:sz w:val="28"/>
          <w:szCs w:val="28"/>
        </w:rPr>
      </w:pPr>
    </w:p>
    <w:p w14:paraId="296EB70A">
      <w:pPr>
        <w:rPr>
          <w:b/>
          <w:sz w:val="28"/>
          <w:szCs w:val="28"/>
        </w:rPr>
      </w:pPr>
    </w:p>
    <w:p w14:paraId="0812D0C8">
      <w:pPr>
        <w:ind w:right="2719" w:rightChars="1295"/>
        <w:rPr>
          <w:b/>
          <w:sz w:val="28"/>
          <w:szCs w:val="28"/>
        </w:rPr>
      </w:pPr>
    </w:p>
    <w:p w14:paraId="4CD17A5C">
      <w:pPr>
        <w:ind w:right="2719" w:rightChars="1295"/>
        <w:jc w:val="center"/>
        <w:rPr>
          <w:b/>
          <w:sz w:val="32"/>
          <w:szCs w:val="28"/>
        </w:rPr>
      </w:pPr>
      <w:r>
        <w:rPr>
          <w:sz w:val="20"/>
          <w:szCs w:val="20"/>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7620" t="12065" r="11430" b="6985"/>
                <wp:wrapNone/>
                <wp:docPr id="6018578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7ACAE954">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zS1x2AAAAAkBAAAPAAAAAAAAAAEAIAAAACIAAABkcnMvZG93bnJldi54&#10;bWxQSwECFAAUAAAACACHTuJAep45zjMCAABkBAAADgAAAAAAAAABACAAAAAnAQAAZHJzL2Uyb0Rv&#10;Yy54bWxQSwUGAAAAAAYABgBZAQAAzAUAAAAA&#10;">
                <v:fill on="f" focussize="0,0"/>
                <v:stroke color="#FFFFFF" miterlimit="8" joinstyle="miter"/>
                <v:imagedata o:title=""/>
                <o:lock v:ext="edit" aspectratio="f"/>
                <v:textbox>
                  <w:txbxContent>
                    <w:p w14:paraId="7ACAE954">
                      <w:pPr>
                        <w:rPr>
                          <w:b/>
                          <w:bCs/>
                          <w:sz w:val="32"/>
                        </w:rPr>
                      </w:pPr>
                      <w:r>
                        <w:rPr>
                          <w:rFonts w:hint="eastAsia"/>
                          <w:b/>
                          <w:bCs/>
                          <w:sz w:val="32"/>
                        </w:rPr>
                        <w:t>制定</w:t>
                      </w:r>
                    </w:p>
                  </w:txbxContent>
                </v:textbox>
              </v:shape>
            </w:pict>
          </mc:Fallback>
        </mc:AlternateContent>
      </w:r>
      <w:r>
        <w:rPr>
          <w:rFonts w:hint="eastAsia"/>
          <w:b/>
          <w:sz w:val="28"/>
          <w:szCs w:val="28"/>
        </w:rPr>
        <w:t xml:space="preserve">         </w:t>
      </w:r>
      <w:r>
        <w:rPr>
          <w:b/>
          <w:sz w:val="32"/>
          <w:szCs w:val="28"/>
        </w:rPr>
        <w:t>住房城乡建设部</w:t>
      </w:r>
    </w:p>
    <w:p w14:paraId="3FD58D0F">
      <w:pPr>
        <w:ind w:right="2719" w:rightChars="1295" w:firstLine="2233" w:firstLineChars="695"/>
        <w:rPr>
          <w:b/>
          <w:sz w:val="32"/>
          <w:szCs w:val="28"/>
        </w:rPr>
      </w:pPr>
      <w:r>
        <w:rPr>
          <w:b/>
          <w:sz w:val="32"/>
          <w:szCs w:val="28"/>
        </w:rPr>
        <w:t>国家工商行政管理总局</w:t>
      </w:r>
    </w:p>
    <w:p w14:paraId="45113CE8">
      <w:pPr>
        <w:rPr>
          <w:b/>
        </w:rPr>
      </w:pPr>
    </w:p>
    <w:p w14:paraId="1483FC6B">
      <w:pPr>
        <w:pStyle w:val="201"/>
        <w:spacing w:before="0" w:after="0" w:line="240" w:lineRule="auto"/>
        <w:jc w:val="center"/>
        <w:outlineLvl w:val="0"/>
        <w:rPr>
          <w:rFonts w:hint="eastAsia" w:ascii="华文中宋" w:hAnsi="华文中宋" w:eastAsia="华文中宋"/>
          <w:sz w:val="28"/>
          <w:szCs w:val="28"/>
          <w:lang w:eastAsia="zh-CN"/>
        </w:rPr>
      </w:pPr>
      <w:r>
        <w:rPr>
          <w:b w:val="0"/>
          <w:lang w:eastAsia="zh-CN"/>
        </w:rPr>
        <w:br w:type="page"/>
      </w:r>
      <w:bookmarkStart w:id="15" w:name="_Toc296890982"/>
      <w:bookmarkStart w:id="16" w:name="_Toc351203480"/>
      <w:bookmarkStart w:id="17" w:name="_Toc296503025"/>
      <w:r>
        <w:rPr>
          <w:rFonts w:ascii="华文中宋" w:hAnsi="华文中宋" w:eastAsia="华文中宋"/>
          <w:sz w:val="28"/>
          <w:szCs w:val="28"/>
          <w:lang w:eastAsia="zh-CN"/>
        </w:rPr>
        <w:t>第一部分 合同协议书</w:t>
      </w:r>
      <w:bookmarkEnd w:id="15"/>
      <w:bookmarkEnd w:id="16"/>
      <w:bookmarkEnd w:id="17"/>
    </w:p>
    <w:p w14:paraId="2A398C6D"/>
    <w:p w14:paraId="2596F4A3">
      <w:pPr>
        <w:spacing w:line="360" w:lineRule="auto"/>
        <w:ind w:firstLine="360" w:firstLineChars="150"/>
        <w:jc w:val="left"/>
        <w:rPr>
          <w:rFonts w:hint="eastAsia" w:ascii="仿宋" w:hAnsi="仿宋" w:eastAsia="仿宋"/>
          <w:sz w:val="24"/>
          <w:szCs w:val="24"/>
          <w:u w:val="single"/>
        </w:rPr>
      </w:pPr>
      <w:r>
        <w:rPr>
          <w:rFonts w:ascii="仿宋" w:hAnsi="仿宋" w:eastAsia="仿宋"/>
          <w:sz w:val="24"/>
          <w:szCs w:val="24"/>
        </w:rPr>
        <w:t>发包人（全称）：</w:t>
      </w:r>
      <w:r>
        <w:rPr>
          <w:rFonts w:hint="eastAsia" w:ascii="仿宋" w:hAnsi="仿宋" w:eastAsia="仿宋"/>
          <w:sz w:val="24"/>
          <w:szCs w:val="24"/>
          <w:u w:val="single"/>
        </w:rPr>
        <w:t>江苏万杨物业管理服务有限公司江都分公司</w:t>
      </w:r>
    </w:p>
    <w:p w14:paraId="307F43BD">
      <w:pPr>
        <w:spacing w:line="360" w:lineRule="auto"/>
        <w:ind w:firstLine="360" w:firstLineChars="150"/>
        <w:jc w:val="left"/>
        <w:rPr>
          <w:rFonts w:hint="eastAsia" w:ascii="仿宋" w:hAnsi="仿宋" w:eastAsia="仿宋"/>
          <w:sz w:val="24"/>
          <w:szCs w:val="24"/>
          <w:u w:val="single"/>
        </w:rPr>
      </w:pPr>
      <w:r>
        <w:rPr>
          <w:rFonts w:ascii="仿宋" w:hAnsi="仿宋" w:eastAsia="仿宋"/>
          <w:sz w:val="24"/>
          <w:szCs w:val="24"/>
        </w:rPr>
        <w:t>承包人（全称）：</w:t>
      </w:r>
      <w:r>
        <w:rPr>
          <w:rFonts w:ascii="仿宋" w:hAnsi="仿宋" w:eastAsia="仿宋"/>
          <w:sz w:val="24"/>
          <w:szCs w:val="24"/>
          <w:u w:val="single"/>
        </w:rPr>
        <w:t></w:t>
      </w:r>
      <w:r>
        <w:rPr>
          <w:rFonts w:hint="eastAsia" w:ascii="仿宋" w:hAnsi="仿宋" w:eastAsia="仿宋"/>
          <w:sz w:val="24"/>
          <w:szCs w:val="24"/>
          <w:u w:val="single"/>
        </w:rPr>
        <w:t xml:space="preserve">                                    </w:t>
      </w:r>
    </w:p>
    <w:p w14:paraId="45CE0B2D">
      <w:pPr>
        <w:ind w:firstLine="480" w:firstLineChars="200"/>
        <w:jc w:val="left"/>
        <w:rPr>
          <w:rFonts w:hint="eastAsia" w:ascii="仿宋" w:hAnsi="仿宋" w:eastAsia="仿宋"/>
          <w:sz w:val="24"/>
          <w:szCs w:val="24"/>
          <w:u w:val="single"/>
        </w:rPr>
      </w:pPr>
      <w:r>
        <w:rPr>
          <w:rFonts w:ascii="仿宋" w:hAnsi="仿宋" w:eastAsia="仿宋"/>
          <w:sz w:val="24"/>
          <w:szCs w:val="24"/>
        </w:rPr>
        <w:t>根据《中华人民共和国民法典》、《中华人民共和国建筑法》及有关法律规定，遵循平等、自愿、公平和诚实信用的原则，双方就</w:t>
      </w:r>
      <w:r>
        <w:rPr>
          <w:rFonts w:hint="eastAsia" w:ascii="仿宋" w:hAnsi="仿宋" w:eastAsia="仿宋"/>
          <w:sz w:val="24"/>
          <w:szCs w:val="24"/>
        </w:rPr>
        <w:t>本项目</w:t>
      </w:r>
      <w:r>
        <w:rPr>
          <w:rFonts w:ascii="仿宋" w:hAnsi="仿宋" w:eastAsia="仿宋"/>
          <w:sz w:val="24"/>
          <w:szCs w:val="24"/>
        </w:rPr>
        <w:t>有关事项协商一致</w:t>
      </w:r>
      <w:r>
        <w:rPr>
          <w:rFonts w:hint="eastAsia" w:ascii="仿宋" w:hAnsi="仿宋" w:eastAsia="仿宋"/>
          <w:sz w:val="24"/>
          <w:szCs w:val="24"/>
        </w:rPr>
        <w:t>，</w:t>
      </w:r>
      <w:r>
        <w:rPr>
          <w:rFonts w:ascii="仿宋" w:hAnsi="仿宋" w:eastAsia="仿宋"/>
          <w:sz w:val="24"/>
          <w:szCs w:val="24"/>
        </w:rPr>
        <w:t>共同达成如下协议：</w:t>
      </w:r>
    </w:p>
    <w:p w14:paraId="79C59113">
      <w:pPr>
        <w:pStyle w:val="5"/>
        <w:spacing w:before="120" w:after="120" w:line="300" w:lineRule="auto"/>
        <w:jc w:val="left"/>
        <w:rPr>
          <w:rFonts w:hint="eastAsia" w:ascii="仿宋" w:hAnsi="仿宋" w:eastAsia="仿宋"/>
          <w:bCs/>
          <w:sz w:val="24"/>
          <w:szCs w:val="24"/>
        </w:rPr>
      </w:pPr>
      <w:bookmarkStart w:id="18" w:name="_Toc351203481"/>
      <w:r>
        <w:rPr>
          <w:rFonts w:ascii="仿宋" w:hAnsi="仿宋" w:eastAsia="仿宋"/>
          <w:sz w:val="24"/>
          <w:szCs w:val="24"/>
        </w:rPr>
        <w:t>一、工程概况</w:t>
      </w:r>
      <w:bookmarkEnd w:id="18"/>
    </w:p>
    <w:p w14:paraId="15383967">
      <w:pPr>
        <w:spacing w:line="300" w:lineRule="auto"/>
        <w:ind w:firstLine="470" w:firstLineChars="196"/>
        <w:jc w:val="left"/>
        <w:rPr>
          <w:rFonts w:hint="eastAsia" w:ascii="仿宋" w:hAnsi="仿宋" w:eastAsia="仿宋"/>
          <w:sz w:val="24"/>
          <w:szCs w:val="24"/>
          <w:u w:val="single"/>
        </w:rPr>
      </w:pPr>
      <w:r>
        <w:rPr>
          <w:rFonts w:ascii="仿宋" w:hAnsi="仿宋" w:eastAsia="仿宋"/>
          <w:bCs/>
          <w:sz w:val="24"/>
          <w:szCs w:val="24"/>
        </w:rPr>
        <w:t>1.工程名称</w:t>
      </w:r>
      <w:r>
        <w:rPr>
          <w:rFonts w:ascii="仿宋" w:hAnsi="仿宋" w:eastAsia="仿宋"/>
          <w:sz w:val="24"/>
          <w:szCs w:val="24"/>
        </w:rPr>
        <w:t>：</w:t>
      </w:r>
      <w:r>
        <w:rPr>
          <w:rFonts w:hint="eastAsia" w:ascii="仿宋" w:hAnsi="仿宋" w:eastAsia="仿宋"/>
          <w:sz w:val="24"/>
          <w:szCs w:val="24"/>
          <w:u w:val="single"/>
        </w:rPr>
        <w:t>鸿益千秋小区监控系统升级改造项目</w:t>
      </w:r>
      <w:r>
        <w:rPr>
          <w:rFonts w:ascii="仿宋" w:hAnsi="仿宋" w:eastAsia="仿宋"/>
          <w:sz w:val="24"/>
          <w:szCs w:val="24"/>
        </w:rPr>
        <w:t>。</w:t>
      </w:r>
    </w:p>
    <w:p w14:paraId="7A927669">
      <w:pPr>
        <w:spacing w:line="300" w:lineRule="auto"/>
        <w:ind w:firstLine="470" w:firstLineChars="196"/>
        <w:jc w:val="left"/>
        <w:rPr>
          <w:rFonts w:hint="eastAsia" w:ascii="仿宋" w:hAnsi="仿宋" w:eastAsia="仿宋"/>
          <w:bCs/>
          <w:sz w:val="24"/>
          <w:szCs w:val="24"/>
        </w:rPr>
      </w:pPr>
      <w:r>
        <w:rPr>
          <w:rFonts w:ascii="仿宋" w:hAnsi="仿宋" w:eastAsia="仿宋"/>
          <w:bCs/>
          <w:sz w:val="24"/>
          <w:szCs w:val="24"/>
        </w:rPr>
        <w:t>2.工程地点：</w:t>
      </w:r>
      <w:r>
        <w:rPr>
          <w:rFonts w:ascii="仿宋" w:hAnsi="仿宋" w:eastAsia="仿宋"/>
          <w:sz w:val="24"/>
          <w:szCs w:val="24"/>
          <w:u w:val="single"/>
        </w:rPr>
        <w:t></w:t>
      </w:r>
      <w:r>
        <w:rPr>
          <w:rFonts w:hint="eastAsia" w:ascii="仿宋" w:hAnsi="仿宋" w:eastAsia="仿宋"/>
          <w:sz w:val="24"/>
          <w:szCs w:val="24"/>
          <w:u w:val="single"/>
        </w:rPr>
        <w:t xml:space="preserve">扬州市江都区大桥镇   </w:t>
      </w:r>
      <w:r>
        <w:rPr>
          <w:rFonts w:ascii="仿宋" w:hAnsi="仿宋" w:eastAsia="仿宋"/>
          <w:sz w:val="24"/>
          <w:szCs w:val="24"/>
        </w:rPr>
        <w:t>。</w:t>
      </w:r>
    </w:p>
    <w:p w14:paraId="5E362A94">
      <w:pPr>
        <w:spacing w:line="300" w:lineRule="auto"/>
        <w:ind w:firstLine="470" w:firstLineChars="196"/>
        <w:jc w:val="left"/>
        <w:rPr>
          <w:rFonts w:hint="eastAsia" w:ascii="仿宋" w:hAnsi="仿宋" w:eastAsia="仿宋"/>
          <w:bCs/>
          <w:sz w:val="24"/>
          <w:szCs w:val="24"/>
        </w:rPr>
      </w:pPr>
      <w:r>
        <w:rPr>
          <w:rFonts w:ascii="仿宋" w:hAnsi="仿宋" w:eastAsia="仿宋"/>
          <w:bCs/>
          <w:sz w:val="24"/>
          <w:szCs w:val="24"/>
        </w:rPr>
        <w:t>3.工程立项批准文号：</w:t>
      </w:r>
      <w:r>
        <w:rPr>
          <w:rFonts w:ascii="仿宋" w:hAnsi="仿宋" w:eastAsia="仿宋"/>
          <w:sz w:val="24"/>
          <w:szCs w:val="24"/>
          <w:u w:val="single"/>
        </w:rPr>
        <w:t></w:t>
      </w:r>
      <w:r>
        <w:rPr>
          <w:rFonts w:hint="eastAsia" w:ascii="仿宋" w:hAnsi="仿宋" w:eastAsia="仿宋"/>
          <w:sz w:val="24"/>
          <w:szCs w:val="24"/>
          <w:u w:val="single"/>
        </w:rPr>
        <w:t>/</w:t>
      </w:r>
      <w:r>
        <w:rPr>
          <w:rFonts w:ascii="仿宋" w:hAnsi="仿宋" w:eastAsia="仿宋"/>
          <w:sz w:val="24"/>
          <w:szCs w:val="24"/>
          <w:u w:val="single"/>
        </w:rPr>
        <w:t></w:t>
      </w:r>
      <w:r>
        <w:rPr>
          <w:rFonts w:ascii="仿宋" w:hAnsi="仿宋" w:eastAsia="仿宋"/>
          <w:bCs/>
          <w:sz w:val="24"/>
          <w:szCs w:val="24"/>
        </w:rPr>
        <w:t>。</w:t>
      </w:r>
    </w:p>
    <w:p w14:paraId="79DFC9E8">
      <w:pPr>
        <w:spacing w:line="300" w:lineRule="auto"/>
        <w:ind w:firstLine="470" w:firstLineChars="196"/>
        <w:jc w:val="left"/>
        <w:rPr>
          <w:rFonts w:hint="eastAsia" w:ascii="仿宋" w:hAnsi="仿宋" w:eastAsia="仿宋"/>
          <w:bCs/>
          <w:sz w:val="24"/>
          <w:szCs w:val="24"/>
        </w:rPr>
      </w:pPr>
      <w:r>
        <w:rPr>
          <w:rFonts w:ascii="仿宋" w:hAnsi="仿宋" w:eastAsia="仿宋"/>
          <w:bCs/>
          <w:sz w:val="24"/>
          <w:szCs w:val="24"/>
        </w:rPr>
        <w:t>4.资金来源：</w:t>
      </w:r>
      <w:r>
        <w:rPr>
          <w:rFonts w:hint="eastAsia" w:ascii="仿宋" w:hAnsi="仿宋" w:eastAsia="仿宋"/>
          <w:sz w:val="24"/>
          <w:szCs w:val="24"/>
          <w:u w:val="single"/>
        </w:rPr>
        <w:t xml:space="preserve">   </w:t>
      </w:r>
      <w:r>
        <w:rPr>
          <w:rFonts w:ascii="仿宋" w:hAnsi="仿宋" w:eastAsia="仿宋"/>
          <w:bCs/>
          <w:sz w:val="24"/>
          <w:szCs w:val="24"/>
        </w:rPr>
        <w:t>。</w:t>
      </w:r>
    </w:p>
    <w:p w14:paraId="34C0A200">
      <w:pPr>
        <w:spacing w:line="300" w:lineRule="auto"/>
        <w:ind w:firstLine="470" w:firstLineChars="196"/>
        <w:jc w:val="left"/>
        <w:rPr>
          <w:rFonts w:hint="eastAsia" w:ascii="仿宋" w:hAnsi="仿宋" w:eastAsia="仿宋"/>
          <w:bCs/>
          <w:sz w:val="24"/>
          <w:szCs w:val="24"/>
        </w:rPr>
      </w:pPr>
      <w:r>
        <w:rPr>
          <w:rFonts w:hint="eastAsia" w:ascii="仿宋" w:hAnsi="仿宋" w:eastAsia="仿宋"/>
          <w:bCs/>
          <w:sz w:val="24"/>
          <w:szCs w:val="24"/>
        </w:rPr>
        <w:t>5.工程内容：</w:t>
      </w:r>
      <w:r>
        <w:rPr>
          <w:rFonts w:hint="eastAsia" w:ascii="仿宋" w:hAnsi="仿宋" w:eastAsia="仿宋"/>
          <w:sz w:val="24"/>
          <w:szCs w:val="24"/>
          <w:u w:val="single"/>
        </w:rPr>
        <w:t xml:space="preserve">          。</w:t>
      </w:r>
    </w:p>
    <w:p w14:paraId="53E716E5">
      <w:pPr>
        <w:pStyle w:val="5"/>
        <w:spacing w:before="120" w:after="120" w:line="300" w:lineRule="auto"/>
        <w:jc w:val="left"/>
        <w:rPr>
          <w:rFonts w:hint="eastAsia" w:ascii="仿宋" w:hAnsi="仿宋" w:eastAsia="仿宋"/>
          <w:b/>
          <w:sz w:val="24"/>
          <w:szCs w:val="24"/>
        </w:rPr>
      </w:pPr>
      <w:bookmarkStart w:id="19" w:name="_Toc351203482"/>
      <w:r>
        <w:rPr>
          <w:rFonts w:ascii="仿宋" w:hAnsi="仿宋" w:eastAsia="仿宋"/>
          <w:sz w:val="24"/>
          <w:szCs w:val="24"/>
        </w:rPr>
        <w:t>二、合同工期</w:t>
      </w:r>
      <w:bookmarkEnd w:id="19"/>
    </w:p>
    <w:p w14:paraId="0D67BF32">
      <w:pPr>
        <w:spacing w:line="300" w:lineRule="auto"/>
        <w:ind w:firstLine="459"/>
        <w:jc w:val="left"/>
        <w:rPr>
          <w:rFonts w:hint="eastAsia" w:ascii="仿宋" w:hAnsi="仿宋" w:eastAsia="仿宋"/>
          <w:sz w:val="24"/>
          <w:szCs w:val="24"/>
        </w:rPr>
      </w:pPr>
      <w:r>
        <w:rPr>
          <w:rFonts w:ascii="仿宋" w:hAnsi="仿宋" w:eastAsia="仿宋"/>
          <w:sz w:val="24"/>
          <w:szCs w:val="24"/>
        </w:rPr>
        <w:t>计划开工日期：</w:t>
      </w:r>
      <w:r>
        <w:rPr>
          <w:rFonts w:ascii="仿宋" w:hAnsi="仿宋" w:eastAsia="仿宋"/>
          <w:sz w:val="24"/>
          <w:szCs w:val="24"/>
          <w:u w:val="single"/>
        </w:rPr>
        <w:t></w:t>
      </w:r>
      <w:r>
        <w:rPr>
          <w:rFonts w:ascii="仿宋" w:hAnsi="仿宋" w:eastAsia="仿宋"/>
          <w:sz w:val="24"/>
          <w:szCs w:val="24"/>
        </w:rPr>
        <w:t>年</w:t>
      </w:r>
      <w:r>
        <w:rPr>
          <w:rFonts w:ascii="仿宋" w:hAnsi="仿宋" w:eastAsia="仿宋"/>
          <w:sz w:val="24"/>
          <w:szCs w:val="24"/>
          <w:u w:val="single"/>
        </w:rPr>
        <w:t></w:t>
      </w:r>
      <w:r>
        <w:rPr>
          <w:rFonts w:ascii="仿宋" w:hAnsi="仿宋" w:eastAsia="仿宋"/>
          <w:sz w:val="24"/>
          <w:szCs w:val="24"/>
        </w:rPr>
        <w:t>月</w:t>
      </w:r>
      <w:r>
        <w:rPr>
          <w:rFonts w:ascii="仿宋" w:hAnsi="仿宋" w:eastAsia="仿宋"/>
          <w:sz w:val="24"/>
          <w:szCs w:val="24"/>
          <w:u w:val="single"/>
        </w:rPr>
        <w:t></w:t>
      </w:r>
      <w:r>
        <w:rPr>
          <w:rFonts w:ascii="仿宋" w:hAnsi="仿宋" w:eastAsia="仿宋"/>
          <w:sz w:val="24"/>
          <w:szCs w:val="24"/>
        </w:rPr>
        <w:t>日。</w:t>
      </w:r>
    </w:p>
    <w:p w14:paraId="3A97357B">
      <w:pPr>
        <w:spacing w:line="300" w:lineRule="auto"/>
        <w:ind w:firstLine="459"/>
        <w:jc w:val="left"/>
        <w:rPr>
          <w:rFonts w:hint="eastAsia" w:ascii="仿宋" w:hAnsi="仿宋" w:eastAsia="仿宋"/>
          <w:sz w:val="24"/>
          <w:szCs w:val="24"/>
        </w:rPr>
      </w:pPr>
      <w:r>
        <w:rPr>
          <w:rFonts w:ascii="仿宋" w:hAnsi="仿宋" w:eastAsia="仿宋"/>
          <w:sz w:val="24"/>
          <w:szCs w:val="24"/>
        </w:rPr>
        <w:t>计划竣工日期：</w:t>
      </w:r>
      <w:r>
        <w:rPr>
          <w:rFonts w:ascii="仿宋" w:hAnsi="仿宋" w:eastAsia="仿宋"/>
          <w:sz w:val="24"/>
          <w:szCs w:val="24"/>
          <w:u w:val="single"/>
        </w:rPr>
        <w:t></w:t>
      </w:r>
      <w:r>
        <w:rPr>
          <w:rFonts w:ascii="仿宋" w:hAnsi="仿宋" w:eastAsia="仿宋"/>
          <w:sz w:val="24"/>
          <w:szCs w:val="24"/>
        </w:rPr>
        <w:t>年</w:t>
      </w:r>
      <w:r>
        <w:rPr>
          <w:rFonts w:ascii="仿宋" w:hAnsi="仿宋" w:eastAsia="仿宋"/>
          <w:sz w:val="24"/>
          <w:szCs w:val="24"/>
          <w:u w:val="single"/>
        </w:rPr>
        <w:t></w:t>
      </w:r>
      <w:r>
        <w:rPr>
          <w:rFonts w:ascii="仿宋" w:hAnsi="仿宋" w:eastAsia="仿宋"/>
          <w:sz w:val="24"/>
          <w:szCs w:val="24"/>
        </w:rPr>
        <w:t>月</w:t>
      </w:r>
      <w:r>
        <w:rPr>
          <w:rFonts w:ascii="仿宋" w:hAnsi="仿宋" w:eastAsia="仿宋"/>
          <w:sz w:val="24"/>
          <w:szCs w:val="24"/>
          <w:u w:val="single"/>
        </w:rPr>
        <w:t></w:t>
      </w:r>
      <w:r>
        <w:rPr>
          <w:rFonts w:ascii="仿宋" w:hAnsi="仿宋" w:eastAsia="仿宋"/>
          <w:sz w:val="24"/>
          <w:szCs w:val="24"/>
        </w:rPr>
        <w:t>日。</w:t>
      </w:r>
    </w:p>
    <w:p w14:paraId="2027AE5C">
      <w:pPr>
        <w:spacing w:line="300" w:lineRule="auto"/>
        <w:ind w:firstLine="459"/>
        <w:jc w:val="left"/>
        <w:rPr>
          <w:rFonts w:hint="eastAsia" w:ascii="仿宋" w:hAnsi="仿宋" w:eastAsia="仿宋"/>
          <w:sz w:val="24"/>
          <w:szCs w:val="24"/>
        </w:rPr>
      </w:pPr>
      <w:r>
        <w:rPr>
          <w:rFonts w:ascii="仿宋" w:hAnsi="仿宋" w:eastAsia="仿宋"/>
          <w:sz w:val="24"/>
          <w:szCs w:val="24"/>
        </w:rPr>
        <w:t>工期总日历天数：</w:t>
      </w:r>
      <w:r>
        <w:rPr>
          <w:rFonts w:hint="eastAsia" w:ascii="仿宋" w:hAnsi="仿宋" w:eastAsia="仿宋"/>
          <w:sz w:val="24"/>
          <w:szCs w:val="24"/>
          <w:u w:val="single"/>
        </w:rPr>
        <w:t>20日历天</w:t>
      </w:r>
      <w:r>
        <w:rPr>
          <w:rFonts w:hint="eastAsia" w:ascii="仿宋" w:hAnsi="仿宋" w:eastAsia="仿宋"/>
          <w:sz w:val="24"/>
          <w:szCs w:val="24"/>
        </w:rPr>
        <w:t>，具体开工时间以甲方通知为准。</w:t>
      </w:r>
    </w:p>
    <w:p w14:paraId="41B02BB0">
      <w:pPr>
        <w:pStyle w:val="5"/>
        <w:spacing w:before="120" w:after="120" w:line="300" w:lineRule="auto"/>
        <w:jc w:val="left"/>
        <w:rPr>
          <w:rFonts w:hint="eastAsia" w:ascii="仿宋" w:hAnsi="仿宋" w:eastAsia="仿宋"/>
          <w:bCs/>
          <w:sz w:val="24"/>
          <w:szCs w:val="24"/>
        </w:rPr>
      </w:pPr>
      <w:bookmarkStart w:id="20" w:name="_Toc351203483"/>
      <w:r>
        <w:rPr>
          <w:rFonts w:ascii="仿宋" w:hAnsi="仿宋" w:eastAsia="仿宋"/>
          <w:sz w:val="24"/>
          <w:szCs w:val="24"/>
        </w:rPr>
        <w:t>三、质量标准</w:t>
      </w:r>
      <w:bookmarkEnd w:id="20"/>
    </w:p>
    <w:p w14:paraId="5C65F040">
      <w:pPr>
        <w:spacing w:line="300" w:lineRule="auto"/>
        <w:ind w:firstLine="459"/>
        <w:jc w:val="left"/>
        <w:rPr>
          <w:rFonts w:hint="eastAsia" w:ascii="仿宋" w:hAnsi="仿宋" w:eastAsia="仿宋"/>
          <w:sz w:val="24"/>
          <w:szCs w:val="24"/>
        </w:rPr>
      </w:pPr>
      <w:r>
        <w:rPr>
          <w:rFonts w:ascii="仿宋" w:hAnsi="仿宋" w:eastAsia="仿宋"/>
          <w:sz w:val="24"/>
          <w:szCs w:val="24"/>
        </w:rPr>
        <w:t>工程质量符合</w:t>
      </w:r>
      <w:r>
        <w:rPr>
          <w:rFonts w:ascii="仿宋" w:hAnsi="仿宋" w:eastAsia="仿宋"/>
          <w:sz w:val="24"/>
          <w:szCs w:val="24"/>
          <w:u w:val="single"/>
        </w:rPr>
        <w:t></w:t>
      </w:r>
      <w:r>
        <w:rPr>
          <w:rFonts w:hint="eastAsia" w:ascii="仿宋" w:hAnsi="仿宋" w:eastAsia="仿宋"/>
          <w:sz w:val="24"/>
          <w:szCs w:val="24"/>
          <w:u w:val="single"/>
        </w:rPr>
        <w:t>合格</w:t>
      </w:r>
      <w:r>
        <w:rPr>
          <w:rFonts w:ascii="仿宋" w:hAnsi="仿宋" w:eastAsia="仿宋"/>
          <w:sz w:val="24"/>
          <w:szCs w:val="24"/>
          <w:u w:val="single"/>
        </w:rPr>
        <w:t></w:t>
      </w:r>
      <w:r>
        <w:rPr>
          <w:rFonts w:ascii="仿宋" w:hAnsi="仿宋" w:eastAsia="仿宋"/>
          <w:sz w:val="24"/>
          <w:szCs w:val="24"/>
        </w:rPr>
        <w:t>标准。</w:t>
      </w:r>
    </w:p>
    <w:p w14:paraId="5CBE8F70">
      <w:pPr>
        <w:pStyle w:val="5"/>
        <w:spacing w:before="120" w:after="120" w:line="300" w:lineRule="auto"/>
        <w:jc w:val="left"/>
        <w:rPr>
          <w:rFonts w:hint="eastAsia" w:ascii="仿宋" w:hAnsi="仿宋" w:eastAsia="仿宋"/>
          <w:bCs/>
          <w:sz w:val="24"/>
          <w:szCs w:val="24"/>
        </w:rPr>
      </w:pPr>
      <w:bookmarkStart w:id="21" w:name="_Toc351203484"/>
      <w:r>
        <w:rPr>
          <w:rFonts w:ascii="仿宋" w:hAnsi="仿宋" w:eastAsia="仿宋"/>
          <w:sz w:val="24"/>
          <w:szCs w:val="24"/>
        </w:rPr>
        <w:t>四、签约合同价与合同价格形式</w:t>
      </w:r>
      <w:bookmarkEnd w:id="21"/>
      <w:r>
        <w:rPr>
          <w:rFonts w:ascii="仿宋" w:hAnsi="仿宋" w:eastAsia="仿宋"/>
          <w:sz w:val="24"/>
          <w:szCs w:val="24"/>
        </w:rPr>
        <w:tab/>
      </w:r>
    </w:p>
    <w:p w14:paraId="0B15CFE1">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1.签约合同价为：</w:t>
      </w:r>
    </w:p>
    <w:p w14:paraId="5EED996D">
      <w:pPr>
        <w:spacing w:line="300" w:lineRule="auto"/>
        <w:ind w:firstLine="600" w:firstLineChars="250"/>
        <w:jc w:val="left"/>
        <w:rPr>
          <w:rFonts w:hint="eastAsia" w:ascii="仿宋" w:hAnsi="仿宋" w:eastAsia="仿宋"/>
          <w:sz w:val="24"/>
          <w:szCs w:val="24"/>
        </w:rPr>
      </w:pPr>
      <w:r>
        <w:rPr>
          <w:rFonts w:ascii="仿宋" w:hAnsi="仿宋" w:eastAsia="仿宋"/>
          <w:sz w:val="24"/>
          <w:szCs w:val="24"/>
        </w:rPr>
        <w:t>人民币（大写）</w:t>
      </w:r>
      <w:r>
        <w:rPr>
          <w:rFonts w:hint="eastAsia" w:ascii="仿宋" w:hAnsi="仿宋" w:eastAsia="仿宋"/>
          <w:sz w:val="24"/>
          <w:szCs w:val="24"/>
          <w:u w:val="single"/>
        </w:rPr>
        <w:t xml:space="preserve">                      </w:t>
      </w:r>
      <w:r>
        <w:rPr>
          <w:rFonts w:ascii="仿宋" w:hAnsi="仿宋" w:eastAsia="仿宋"/>
          <w:sz w:val="24"/>
          <w:szCs w:val="24"/>
        </w:rPr>
        <w:t xml:space="preserve"> (</w:t>
      </w:r>
      <w:r>
        <w:rPr>
          <w:rFonts w:eastAsia="仿宋"/>
          <w:sz w:val="24"/>
          <w:szCs w:val="24"/>
        </w:rPr>
        <w:t>¥</w:t>
      </w:r>
      <w:r>
        <w:rPr>
          <w:rFonts w:hint="eastAsia" w:ascii="仿宋" w:hAnsi="仿宋" w:eastAsia="仿宋"/>
          <w:sz w:val="24"/>
          <w:szCs w:val="24"/>
          <w:u w:val="single"/>
        </w:rPr>
        <w:t xml:space="preserve">        </w:t>
      </w:r>
      <w:r>
        <w:rPr>
          <w:rFonts w:ascii="仿宋" w:hAnsi="仿宋" w:eastAsia="仿宋"/>
          <w:sz w:val="24"/>
          <w:szCs w:val="24"/>
        </w:rPr>
        <w:t>元)；</w:t>
      </w:r>
    </w:p>
    <w:p w14:paraId="08B4147F">
      <w:pPr>
        <w:spacing w:line="300" w:lineRule="auto"/>
        <w:ind w:firstLine="600" w:firstLineChars="250"/>
        <w:jc w:val="left"/>
        <w:rPr>
          <w:rFonts w:hint="eastAsia" w:ascii="仿宋" w:hAnsi="仿宋" w:eastAsia="仿宋"/>
          <w:sz w:val="24"/>
          <w:szCs w:val="24"/>
        </w:rPr>
      </w:pPr>
      <w:r>
        <w:rPr>
          <w:rFonts w:ascii="仿宋" w:hAnsi="仿宋" w:eastAsia="仿宋"/>
          <w:sz w:val="24"/>
          <w:szCs w:val="24"/>
        </w:rPr>
        <w:t>其中：</w:t>
      </w:r>
      <w:r>
        <w:rPr>
          <w:rFonts w:hint="eastAsia" w:ascii="仿宋" w:hAnsi="仿宋" w:eastAsia="仿宋"/>
          <w:sz w:val="24"/>
          <w:szCs w:val="24"/>
          <w:u w:val="single"/>
        </w:rPr>
        <w:t xml:space="preserve">                                    </w:t>
      </w:r>
    </w:p>
    <w:p w14:paraId="57702A78">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（1）安全文明施工费：</w:t>
      </w:r>
      <w:r>
        <w:rPr>
          <w:rFonts w:hint="eastAsia" w:ascii="仿宋" w:hAnsi="仿宋" w:eastAsia="仿宋"/>
          <w:sz w:val="24"/>
          <w:szCs w:val="24"/>
          <w:u w:val="single"/>
        </w:rPr>
        <w:t xml:space="preserve">                      </w:t>
      </w:r>
    </w:p>
    <w:p w14:paraId="359DD7B1">
      <w:pPr>
        <w:spacing w:line="300" w:lineRule="auto"/>
        <w:ind w:firstLine="600" w:firstLineChars="250"/>
        <w:jc w:val="left"/>
        <w:rPr>
          <w:rFonts w:hint="eastAsia" w:ascii="仿宋" w:hAnsi="仿宋" w:eastAsia="仿宋"/>
          <w:sz w:val="24"/>
          <w:szCs w:val="24"/>
        </w:rPr>
      </w:pPr>
      <w:r>
        <w:rPr>
          <w:rFonts w:ascii="仿宋" w:hAnsi="仿宋" w:eastAsia="仿宋"/>
          <w:sz w:val="24"/>
          <w:szCs w:val="24"/>
        </w:rPr>
        <w:t>人民币（大写）</w:t>
      </w:r>
      <w:r>
        <w:rPr>
          <w:rFonts w:hint="eastAsia" w:ascii="仿宋" w:hAnsi="仿宋" w:eastAsia="仿宋"/>
          <w:sz w:val="24"/>
          <w:szCs w:val="24"/>
          <w:u w:val="single"/>
        </w:rPr>
        <w:t xml:space="preserve">                      </w:t>
      </w:r>
      <w:r>
        <w:rPr>
          <w:rFonts w:ascii="仿宋" w:hAnsi="仿宋" w:eastAsia="仿宋"/>
          <w:sz w:val="24"/>
          <w:szCs w:val="24"/>
        </w:rPr>
        <w:t xml:space="preserve"> (</w:t>
      </w:r>
      <w:r>
        <w:rPr>
          <w:rFonts w:eastAsia="仿宋"/>
          <w:sz w:val="24"/>
          <w:szCs w:val="24"/>
        </w:rPr>
        <w:t>¥</w:t>
      </w:r>
      <w:r>
        <w:rPr>
          <w:rFonts w:hint="eastAsia" w:ascii="仿宋" w:hAnsi="仿宋" w:eastAsia="仿宋"/>
          <w:sz w:val="24"/>
          <w:szCs w:val="24"/>
          <w:u w:val="single"/>
        </w:rPr>
        <w:t xml:space="preserve">        </w:t>
      </w:r>
      <w:r>
        <w:rPr>
          <w:rFonts w:ascii="仿宋" w:hAnsi="仿宋" w:eastAsia="仿宋"/>
          <w:sz w:val="24"/>
          <w:szCs w:val="24"/>
        </w:rPr>
        <w:t>元)；</w:t>
      </w:r>
    </w:p>
    <w:p w14:paraId="5E924FA3">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（2）材料和工程设备暂估价金额：</w:t>
      </w:r>
      <w:r>
        <w:rPr>
          <w:rFonts w:hint="eastAsia" w:ascii="仿宋" w:hAnsi="仿宋" w:eastAsia="仿宋"/>
          <w:sz w:val="24"/>
          <w:szCs w:val="24"/>
          <w:u w:val="single"/>
        </w:rPr>
        <w:t xml:space="preserve">            </w:t>
      </w:r>
    </w:p>
    <w:p w14:paraId="2824E727">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人民币（大写）</w:t>
      </w:r>
      <w:r>
        <w:rPr>
          <w:rFonts w:hint="eastAsia" w:ascii="仿宋" w:hAnsi="仿宋" w:eastAsia="仿宋"/>
          <w:sz w:val="24"/>
          <w:szCs w:val="24"/>
          <w:u w:val="single"/>
        </w:rPr>
        <w:t xml:space="preserve">                      </w:t>
      </w:r>
      <w:r>
        <w:rPr>
          <w:rFonts w:ascii="仿宋" w:hAnsi="仿宋" w:eastAsia="仿宋"/>
          <w:sz w:val="24"/>
          <w:szCs w:val="24"/>
        </w:rPr>
        <w:t xml:space="preserve"> (</w:t>
      </w:r>
      <w:r>
        <w:rPr>
          <w:rFonts w:eastAsia="仿宋"/>
          <w:sz w:val="24"/>
          <w:szCs w:val="24"/>
        </w:rPr>
        <w:t>¥</w:t>
      </w:r>
      <w:r>
        <w:rPr>
          <w:rFonts w:hint="eastAsia" w:ascii="仿宋" w:hAnsi="仿宋" w:eastAsia="仿宋"/>
          <w:sz w:val="24"/>
          <w:szCs w:val="24"/>
          <w:u w:val="single"/>
        </w:rPr>
        <w:t xml:space="preserve">        </w:t>
      </w:r>
      <w:r>
        <w:rPr>
          <w:rFonts w:ascii="仿宋" w:hAnsi="仿宋" w:eastAsia="仿宋"/>
          <w:sz w:val="24"/>
          <w:szCs w:val="24"/>
        </w:rPr>
        <w:t>元)；</w:t>
      </w:r>
    </w:p>
    <w:p w14:paraId="3BB2E435">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（3）专业工程暂估价金额：</w:t>
      </w:r>
      <w:r>
        <w:rPr>
          <w:rFonts w:hint="eastAsia" w:ascii="仿宋" w:hAnsi="仿宋" w:eastAsia="仿宋"/>
          <w:sz w:val="24"/>
          <w:szCs w:val="24"/>
          <w:u w:val="single"/>
        </w:rPr>
        <w:t xml:space="preserve">                   </w:t>
      </w:r>
    </w:p>
    <w:p w14:paraId="2448475D">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人民币（大写）</w:t>
      </w:r>
      <w:r>
        <w:rPr>
          <w:rFonts w:hint="eastAsia" w:ascii="仿宋" w:hAnsi="仿宋" w:eastAsia="仿宋"/>
          <w:sz w:val="24"/>
          <w:szCs w:val="24"/>
          <w:u w:val="single"/>
        </w:rPr>
        <w:t xml:space="preserve">                      </w:t>
      </w:r>
      <w:r>
        <w:rPr>
          <w:rFonts w:ascii="仿宋" w:hAnsi="仿宋" w:eastAsia="仿宋"/>
          <w:sz w:val="24"/>
          <w:szCs w:val="24"/>
        </w:rPr>
        <w:t xml:space="preserve"> (</w:t>
      </w:r>
      <w:r>
        <w:rPr>
          <w:rFonts w:eastAsia="仿宋"/>
          <w:sz w:val="24"/>
          <w:szCs w:val="24"/>
        </w:rPr>
        <w:t>¥</w:t>
      </w:r>
      <w:r>
        <w:rPr>
          <w:rFonts w:hint="eastAsia" w:ascii="仿宋" w:hAnsi="仿宋" w:eastAsia="仿宋"/>
          <w:sz w:val="24"/>
          <w:szCs w:val="24"/>
          <w:u w:val="single"/>
        </w:rPr>
        <w:t xml:space="preserve">        </w:t>
      </w:r>
      <w:r>
        <w:rPr>
          <w:rFonts w:ascii="仿宋" w:hAnsi="仿宋" w:eastAsia="仿宋"/>
          <w:sz w:val="24"/>
          <w:szCs w:val="24"/>
        </w:rPr>
        <w:t>元)；</w:t>
      </w:r>
    </w:p>
    <w:p w14:paraId="5A767958">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（4）暂列金额：</w:t>
      </w:r>
      <w:r>
        <w:rPr>
          <w:rFonts w:hint="eastAsia" w:ascii="仿宋" w:hAnsi="仿宋" w:eastAsia="仿宋"/>
          <w:sz w:val="24"/>
          <w:szCs w:val="24"/>
          <w:u w:val="single"/>
        </w:rPr>
        <w:t xml:space="preserve">                             </w:t>
      </w:r>
    </w:p>
    <w:p w14:paraId="143B3B16">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人民币（大写）</w:t>
      </w:r>
      <w:r>
        <w:rPr>
          <w:rFonts w:hint="eastAsia" w:ascii="仿宋" w:hAnsi="仿宋" w:eastAsia="仿宋"/>
          <w:sz w:val="24"/>
          <w:szCs w:val="24"/>
          <w:u w:val="single"/>
        </w:rPr>
        <w:t xml:space="preserve">                      </w:t>
      </w:r>
      <w:r>
        <w:rPr>
          <w:rFonts w:ascii="仿宋" w:hAnsi="仿宋" w:eastAsia="仿宋"/>
          <w:sz w:val="24"/>
          <w:szCs w:val="24"/>
        </w:rPr>
        <w:t xml:space="preserve"> (</w:t>
      </w:r>
      <w:r>
        <w:rPr>
          <w:rFonts w:eastAsia="仿宋"/>
          <w:sz w:val="24"/>
          <w:szCs w:val="24"/>
        </w:rPr>
        <w:t>¥</w:t>
      </w:r>
      <w:r>
        <w:rPr>
          <w:rFonts w:hint="eastAsia" w:ascii="仿宋" w:hAnsi="仿宋" w:eastAsia="仿宋"/>
          <w:sz w:val="24"/>
          <w:szCs w:val="24"/>
          <w:u w:val="single"/>
        </w:rPr>
        <w:t xml:space="preserve">        </w:t>
      </w:r>
      <w:r>
        <w:rPr>
          <w:rFonts w:ascii="仿宋" w:hAnsi="仿宋" w:eastAsia="仿宋"/>
          <w:sz w:val="24"/>
          <w:szCs w:val="24"/>
        </w:rPr>
        <w:t>元)；</w:t>
      </w:r>
    </w:p>
    <w:p w14:paraId="2BE07787">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2.合同价格形式：</w:t>
      </w:r>
      <w:r>
        <w:rPr>
          <w:rFonts w:ascii="仿宋" w:hAnsi="仿宋" w:eastAsia="仿宋"/>
          <w:sz w:val="24"/>
          <w:szCs w:val="24"/>
          <w:u w:val="single"/>
        </w:rPr>
        <w:t></w:t>
      </w:r>
      <w:r>
        <w:rPr>
          <w:rFonts w:hint="eastAsia" w:ascii="仿宋" w:hAnsi="仿宋" w:eastAsia="仿宋"/>
          <w:sz w:val="24"/>
          <w:szCs w:val="24"/>
          <w:u w:val="single"/>
        </w:rPr>
        <w:t>固定单价</w:t>
      </w:r>
      <w:r>
        <w:rPr>
          <w:rFonts w:ascii="仿宋" w:hAnsi="仿宋" w:eastAsia="仿宋"/>
          <w:sz w:val="24"/>
          <w:szCs w:val="24"/>
          <w:u w:val="single"/>
        </w:rPr>
        <w:t xml:space="preserve">   </w:t>
      </w:r>
      <w:r>
        <w:rPr>
          <w:rFonts w:ascii="仿宋" w:hAnsi="仿宋" w:eastAsia="仿宋"/>
          <w:sz w:val="24"/>
          <w:szCs w:val="24"/>
        </w:rPr>
        <w:t>。</w:t>
      </w:r>
    </w:p>
    <w:p w14:paraId="5090CD95">
      <w:pPr>
        <w:pStyle w:val="5"/>
        <w:spacing w:before="120" w:after="120" w:line="300" w:lineRule="auto"/>
        <w:jc w:val="left"/>
        <w:rPr>
          <w:rFonts w:hint="eastAsia" w:ascii="仿宋" w:hAnsi="仿宋" w:eastAsia="仿宋"/>
          <w:b/>
          <w:sz w:val="24"/>
          <w:szCs w:val="24"/>
        </w:rPr>
      </w:pPr>
      <w:bookmarkStart w:id="22" w:name="_Toc351203485"/>
      <w:r>
        <w:rPr>
          <w:rFonts w:ascii="仿宋" w:hAnsi="仿宋" w:eastAsia="仿宋"/>
          <w:sz w:val="24"/>
          <w:szCs w:val="24"/>
        </w:rPr>
        <w:t>五、</w:t>
      </w:r>
      <w:bookmarkEnd w:id="22"/>
      <w:r>
        <w:rPr>
          <w:rFonts w:ascii="仿宋" w:hAnsi="仿宋" w:eastAsia="仿宋"/>
          <w:sz w:val="24"/>
          <w:szCs w:val="24"/>
        </w:rPr>
        <w:t>项目负责人</w:t>
      </w:r>
    </w:p>
    <w:p w14:paraId="3AE9375F">
      <w:pPr>
        <w:spacing w:line="300" w:lineRule="auto"/>
        <w:ind w:firstLine="480" w:firstLineChars="200"/>
        <w:jc w:val="left"/>
        <w:rPr>
          <w:rFonts w:hint="eastAsia" w:ascii="仿宋" w:hAnsi="仿宋" w:eastAsia="仿宋"/>
          <w:sz w:val="24"/>
          <w:szCs w:val="24"/>
        </w:rPr>
      </w:pPr>
      <w:r>
        <w:rPr>
          <w:rFonts w:ascii="仿宋" w:hAnsi="仿宋" w:eastAsia="仿宋"/>
          <w:sz w:val="24"/>
          <w:szCs w:val="24"/>
        </w:rPr>
        <w:t>承包人项目负责人：</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w:t>
      </w:r>
      <w:r>
        <w:rPr>
          <w:rFonts w:ascii="仿宋" w:hAnsi="仿宋" w:eastAsia="仿宋"/>
          <w:sz w:val="24"/>
          <w:szCs w:val="24"/>
        </w:rPr>
        <w:t>。</w:t>
      </w:r>
    </w:p>
    <w:p w14:paraId="0461E097">
      <w:pPr>
        <w:pStyle w:val="5"/>
        <w:spacing w:before="120" w:after="120" w:line="300" w:lineRule="auto"/>
        <w:jc w:val="left"/>
        <w:rPr>
          <w:rFonts w:hint="eastAsia" w:ascii="仿宋" w:hAnsi="仿宋" w:eastAsia="仿宋"/>
          <w:bCs/>
          <w:sz w:val="24"/>
          <w:szCs w:val="24"/>
        </w:rPr>
      </w:pPr>
      <w:bookmarkStart w:id="23" w:name="_Toc351203486"/>
      <w:r>
        <w:rPr>
          <w:rFonts w:ascii="仿宋" w:hAnsi="仿宋" w:eastAsia="仿宋"/>
          <w:sz w:val="24"/>
          <w:szCs w:val="24"/>
        </w:rPr>
        <w:t>六、合同文件构成</w:t>
      </w:r>
      <w:bookmarkEnd w:id="23"/>
    </w:p>
    <w:p w14:paraId="4280F511">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本协议书与下列文件一起构成合同文件：</w:t>
      </w:r>
    </w:p>
    <w:p w14:paraId="484C2672">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（1）中标通知书（如果有）；</w:t>
      </w:r>
    </w:p>
    <w:p w14:paraId="3EFEC239">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（2）投标函及其附录（如果有）；</w:t>
      </w:r>
    </w:p>
    <w:p w14:paraId="36976C70">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（3）专用合同条款及其附件；</w:t>
      </w:r>
    </w:p>
    <w:p w14:paraId="5EBB33C6">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（4）通用合同条款；</w:t>
      </w:r>
    </w:p>
    <w:p w14:paraId="2FFC35D5">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（5）技术标准和要求；</w:t>
      </w:r>
    </w:p>
    <w:p w14:paraId="31AA9EDA">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（6）图纸；</w:t>
      </w:r>
    </w:p>
    <w:p w14:paraId="5353A589">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（7）已标价工程量清单或预算书；</w:t>
      </w:r>
    </w:p>
    <w:p w14:paraId="735DA847">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（8）其他合同文件。</w:t>
      </w:r>
    </w:p>
    <w:p w14:paraId="069ABD36">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在合同订立及履行过程中形成的与合同有关的文件均构成合同文件组成部分。</w:t>
      </w:r>
    </w:p>
    <w:p w14:paraId="0E2945BB">
      <w:pPr>
        <w:autoSpaceDE w:val="0"/>
        <w:autoSpaceDN w:val="0"/>
        <w:adjustRightInd w:val="0"/>
        <w:spacing w:line="300" w:lineRule="auto"/>
        <w:ind w:firstLine="480" w:firstLineChars="200"/>
        <w:jc w:val="left"/>
        <w:rPr>
          <w:rFonts w:hint="eastAsia" w:ascii="仿宋" w:hAnsi="仿宋" w:eastAsia="仿宋"/>
          <w:sz w:val="24"/>
          <w:szCs w:val="24"/>
        </w:rPr>
      </w:pPr>
      <w:r>
        <w:rPr>
          <w:rFonts w:ascii="仿宋" w:hAnsi="仿宋" w:eastAsia="仿宋"/>
          <w:sz w:val="24"/>
          <w:szCs w:val="24"/>
        </w:rPr>
        <w:t>上述各项合同文件包括合同当事人就该项合同文件所作出的补充和修改，属于同一类内容的文件，应以最新签署的为准。</w:t>
      </w:r>
      <w:r>
        <w:rPr>
          <w:rFonts w:hint="eastAsia" w:ascii="仿宋" w:hAnsi="仿宋" w:eastAsia="仿宋"/>
          <w:sz w:val="24"/>
          <w:szCs w:val="24"/>
        </w:rPr>
        <w:t>专用合同条款及其附件须经合同当事人签字或盖章。</w:t>
      </w:r>
    </w:p>
    <w:p w14:paraId="5B748134">
      <w:pPr>
        <w:pStyle w:val="5"/>
        <w:spacing w:before="120" w:after="120" w:line="300" w:lineRule="auto"/>
        <w:jc w:val="left"/>
        <w:rPr>
          <w:rFonts w:hint="eastAsia" w:ascii="仿宋" w:hAnsi="仿宋" w:eastAsia="仿宋"/>
          <w:b/>
          <w:bCs/>
          <w:sz w:val="24"/>
          <w:szCs w:val="24"/>
        </w:rPr>
      </w:pPr>
      <w:bookmarkStart w:id="24" w:name="_Toc351203487"/>
      <w:r>
        <w:rPr>
          <w:rFonts w:ascii="仿宋" w:hAnsi="仿宋" w:eastAsia="仿宋"/>
          <w:sz w:val="24"/>
          <w:szCs w:val="24"/>
        </w:rPr>
        <w:t>七、承诺</w:t>
      </w:r>
      <w:bookmarkEnd w:id="24"/>
    </w:p>
    <w:p w14:paraId="4CC16407">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1.发包人承诺按照法律规定履行项目审批手续、筹集工程建设资金并按照合同约定的期限和方式支付合同价款。</w:t>
      </w:r>
    </w:p>
    <w:p w14:paraId="6333327B">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2.承包人承诺按照法律规定及合同约定组织完成工程施工，确保工程质量和安全，不进行转包及违法分包，并在缺陷责任期及保修期内承担相应的工程维修责任。</w:t>
      </w:r>
    </w:p>
    <w:p w14:paraId="5EBBE910">
      <w:pPr>
        <w:spacing w:line="300" w:lineRule="auto"/>
        <w:ind w:firstLine="480" w:firstLineChars="200"/>
        <w:jc w:val="left"/>
        <w:rPr>
          <w:rFonts w:hint="eastAsia" w:ascii="仿宋" w:hAnsi="仿宋" w:eastAsia="仿宋"/>
          <w:bCs/>
          <w:sz w:val="24"/>
          <w:szCs w:val="24"/>
        </w:rPr>
      </w:pPr>
      <w:r>
        <w:rPr>
          <w:rFonts w:hint="eastAsia" w:ascii="仿宋" w:hAnsi="仿宋" w:eastAsia="仿宋"/>
          <w:bCs/>
          <w:sz w:val="24"/>
          <w:szCs w:val="24"/>
        </w:rPr>
        <w:t>3.</w:t>
      </w:r>
      <w:r>
        <w:rPr>
          <w:rFonts w:ascii="仿宋" w:hAnsi="仿宋" w:eastAsia="仿宋"/>
          <w:bCs/>
          <w:sz w:val="24"/>
          <w:szCs w:val="24"/>
        </w:rPr>
        <w:t>发包人和承包人通过招投标形式签订合同的，双方理解并</w:t>
      </w:r>
      <w:r>
        <w:rPr>
          <w:rFonts w:hint="eastAsia" w:ascii="仿宋" w:hAnsi="仿宋" w:eastAsia="仿宋"/>
          <w:bCs/>
          <w:sz w:val="24"/>
          <w:szCs w:val="24"/>
        </w:rPr>
        <w:t>承诺</w:t>
      </w:r>
      <w:r>
        <w:rPr>
          <w:rFonts w:ascii="仿宋" w:hAnsi="仿宋" w:eastAsia="仿宋"/>
          <w:bCs/>
          <w:sz w:val="24"/>
          <w:szCs w:val="24"/>
        </w:rPr>
        <w:t>不再就同一工程另行签订与合同实质性内容相背离的协议。</w:t>
      </w:r>
    </w:p>
    <w:p w14:paraId="7A43229C">
      <w:pPr>
        <w:spacing w:line="300" w:lineRule="auto"/>
        <w:jc w:val="left"/>
        <w:rPr>
          <w:rFonts w:hint="eastAsia" w:ascii="仿宋" w:hAnsi="仿宋" w:eastAsia="仿宋"/>
          <w:bCs/>
          <w:sz w:val="24"/>
          <w:szCs w:val="24"/>
        </w:rPr>
      </w:pPr>
      <w:bookmarkStart w:id="25" w:name="_Toc351203488"/>
      <w:r>
        <w:rPr>
          <w:rFonts w:ascii="仿宋" w:hAnsi="仿宋" w:eastAsia="仿宋"/>
          <w:b/>
          <w:sz w:val="24"/>
          <w:szCs w:val="24"/>
        </w:rPr>
        <w:t>八、词语含义</w:t>
      </w:r>
      <w:bookmarkEnd w:id="25"/>
    </w:p>
    <w:p w14:paraId="52FC3A79">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本协议书中词语含义与第二部分通用合同条款中赋予的含义相同。</w:t>
      </w:r>
    </w:p>
    <w:p w14:paraId="62C7BFF5">
      <w:pPr>
        <w:pStyle w:val="5"/>
        <w:spacing w:before="120" w:after="120" w:line="300" w:lineRule="auto"/>
        <w:jc w:val="left"/>
        <w:rPr>
          <w:rFonts w:hint="eastAsia" w:ascii="仿宋" w:hAnsi="仿宋" w:eastAsia="仿宋"/>
          <w:bCs/>
          <w:sz w:val="24"/>
          <w:szCs w:val="24"/>
        </w:rPr>
      </w:pPr>
      <w:bookmarkStart w:id="26" w:name="_Toc351203489"/>
      <w:r>
        <w:rPr>
          <w:rFonts w:ascii="仿宋" w:hAnsi="仿宋" w:eastAsia="仿宋"/>
          <w:sz w:val="24"/>
          <w:szCs w:val="24"/>
        </w:rPr>
        <w:t>九、签订时间</w:t>
      </w:r>
      <w:bookmarkEnd w:id="26"/>
    </w:p>
    <w:p w14:paraId="2C978928">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本合同于</w:t>
      </w:r>
      <w:r>
        <w:rPr>
          <w:rFonts w:hint="eastAsia" w:ascii="仿宋" w:hAnsi="仿宋" w:eastAsia="仿宋"/>
          <w:bCs/>
          <w:sz w:val="24"/>
          <w:szCs w:val="24"/>
          <w:u w:val="single"/>
        </w:rPr>
        <w:t xml:space="preserve">   </w:t>
      </w:r>
      <w:r>
        <w:rPr>
          <w:rFonts w:ascii="仿宋" w:hAnsi="仿宋" w:eastAsia="仿宋"/>
          <w:bCs/>
          <w:sz w:val="24"/>
          <w:szCs w:val="24"/>
          <w:u w:val="single"/>
        </w:rPr>
        <w:t>年</w:t>
      </w:r>
      <w:r>
        <w:rPr>
          <w:rFonts w:hint="eastAsia" w:ascii="仿宋" w:hAnsi="仿宋" w:eastAsia="仿宋"/>
          <w:bCs/>
          <w:sz w:val="24"/>
          <w:szCs w:val="24"/>
          <w:u w:val="single"/>
        </w:rPr>
        <w:t xml:space="preserve">   </w:t>
      </w:r>
      <w:r>
        <w:rPr>
          <w:rFonts w:ascii="仿宋" w:hAnsi="仿宋" w:eastAsia="仿宋"/>
          <w:bCs/>
          <w:sz w:val="24"/>
          <w:szCs w:val="24"/>
          <w:u w:val="single"/>
        </w:rPr>
        <w:t>月</w:t>
      </w:r>
      <w:r>
        <w:rPr>
          <w:rFonts w:hint="eastAsia" w:ascii="仿宋" w:hAnsi="仿宋" w:eastAsia="仿宋"/>
          <w:bCs/>
          <w:sz w:val="24"/>
          <w:szCs w:val="24"/>
          <w:u w:val="single"/>
        </w:rPr>
        <w:t xml:space="preserve">   </w:t>
      </w:r>
      <w:r>
        <w:rPr>
          <w:rFonts w:ascii="仿宋" w:hAnsi="仿宋" w:eastAsia="仿宋"/>
          <w:bCs/>
          <w:sz w:val="24"/>
          <w:szCs w:val="24"/>
          <w:u w:val="single"/>
        </w:rPr>
        <w:t>日</w:t>
      </w:r>
      <w:r>
        <w:rPr>
          <w:rFonts w:ascii="仿宋" w:hAnsi="仿宋" w:eastAsia="仿宋"/>
          <w:bCs/>
          <w:sz w:val="24"/>
          <w:szCs w:val="24"/>
        </w:rPr>
        <w:t>签订。</w:t>
      </w:r>
    </w:p>
    <w:p w14:paraId="51ABA987">
      <w:pPr>
        <w:pStyle w:val="5"/>
        <w:spacing w:before="120" w:after="120" w:line="300" w:lineRule="auto"/>
        <w:jc w:val="left"/>
        <w:rPr>
          <w:rFonts w:hint="eastAsia" w:ascii="仿宋" w:hAnsi="仿宋" w:eastAsia="仿宋"/>
          <w:bCs/>
          <w:sz w:val="24"/>
          <w:szCs w:val="24"/>
        </w:rPr>
      </w:pPr>
      <w:bookmarkStart w:id="27" w:name="_Toc351203490"/>
      <w:r>
        <w:rPr>
          <w:rFonts w:ascii="仿宋" w:hAnsi="仿宋" w:eastAsia="仿宋"/>
          <w:sz w:val="24"/>
          <w:szCs w:val="24"/>
        </w:rPr>
        <w:t>十、签订地点</w:t>
      </w:r>
      <w:bookmarkEnd w:id="27"/>
    </w:p>
    <w:p w14:paraId="55FC4D59">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本合同在</w:t>
      </w:r>
      <w:r>
        <w:rPr>
          <w:rFonts w:hint="eastAsia" w:ascii="仿宋" w:hAnsi="仿宋" w:eastAsia="仿宋"/>
          <w:bCs/>
          <w:sz w:val="24"/>
          <w:szCs w:val="24"/>
          <w:u w:val="single"/>
        </w:rPr>
        <w:t xml:space="preserve">                    </w:t>
      </w:r>
      <w:r>
        <w:rPr>
          <w:rFonts w:ascii="仿宋" w:hAnsi="仿宋" w:eastAsia="仿宋"/>
          <w:bCs/>
          <w:sz w:val="24"/>
          <w:szCs w:val="24"/>
        </w:rPr>
        <w:t>签订。</w:t>
      </w:r>
    </w:p>
    <w:p w14:paraId="5651851D">
      <w:pPr>
        <w:pStyle w:val="5"/>
        <w:spacing w:before="120" w:after="120" w:line="300" w:lineRule="auto"/>
        <w:jc w:val="left"/>
        <w:rPr>
          <w:rFonts w:hint="eastAsia" w:ascii="仿宋" w:hAnsi="仿宋" w:eastAsia="仿宋"/>
          <w:bCs/>
          <w:sz w:val="24"/>
          <w:szCs w:val="24"/>
        </w:rPr>
      </w:pPr>
      <w:bookmarkStart w:id="28" w:name="_Toc351203491"/>
      <w:r>
        <w:rPr>
          <w:rFonts w:ascii="仿宋" w:hAnsi="仿宋" w:eastAsia="仿宋"/>
          <w:sz w:val="24"/>
          <w:szCs w:val="24"/>
        </w:rPr>
        <w:t>十一、补充协议</w:t>
      </w:r>
      <w:bookmarkEnd w:id="28"/>
    </w:p>
    <w:p w14:paraId="5D97C8F8">
      <w:pPr>
        <w:spacing w:line="300" w:lineRule="auto"/>
        <w:ind w:firstLine="480" w:firstLineChars="200"/>
        <w:jc w:val="left"/>
        <w:rPr>
          <w:rFonts w:hint="eastAsia" w:ascii="仿宋" w:hAnsi="仿宋" w:eastAsia="仿宋"/>
          <w:b/>
          <w:bCs/>
          <w:sz w:val="24"/>
          <w:szCs w:val="24"/>
        </w:rPr>
      </w:pPr>
      <w:r>
        <w:rPr>
          <w:rFonts w:ascii="仿宋" w:hAnsi="仿宋" w:eastAsia="仿宋"/>
          <w:bCs/>
          <w:sz w:val="24"/>
          <w:szCs w:val="24"/>
        </w:rPr>
        <w:t>合同未尽事宜，合同当事人另行签订补充协议</w:t>
      </w:r>
      <w:r>
        <w:rPr>
          <w:rFonts w:hint="eastAsia" w:ascii="仿宋" w:hAnsi="仿宋" w:eastAsia="仿宋"/>
          <w:bCs/>
          <w:sz w:val="24"/>
          <w:szCs w:val="24"/>
        </w:rPr>
        <w:t>，</w:t>
      </w:r>
      <w:r>
        <w:rPr>
          <w:rFonts w:ascii="仿宋" w:hAnsi="仿宋" w:eastAsia="仿宋"/>
          <w:bCs/>
          <w:sz w:val="24"/>
          <w:szCs w:val="24"/>
        </w:rPr>
        <w:t>补充协议是合同的组成部分。</w:t>
      </w:r>
    </w:p>
    <w:p w14:paraId="4A81B04E">
      <w:pPr>
        <w:pStyle w:val="5"/>
        <w:spacing w:before="120" w:after="120" w:line="300" w:lineRule="auto"/>
        <w:jc w:val="left"/>
        <w:rPr>
          <w:rFonts w:hint="eastAsia" w:ascii="仿宋" w:hAnsi="仿宋" w:eastAsia="仿宋"/>
          <w:bCs/>
          <w:sz w:val="24"/>
          <w:szCs w:val="24"/>
        </w:rPr>
      </w:pPr>
      <w:bookmarkStart w:id="29" w:name="_Toc351203492"/>
      <w:r>
        <w:rPr>
          <w:rFonts w:ascii="仿宋" w:hAnsi="仿宋" w:eastAsia="仿宋"/>
          <w:sz w:val="24"/>
          <w:szCs w:val="24"/>
        </w:rPr>
        <w:t>十二、合同生效</w:t>
      </w:r>
      <w:bookmarkEnd w:id="29"/>
    </w:p>
    <w:p w14:paraId="6115295B">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本合同自</w:t>
      </w:r>
      <w:r>
        <w:rPr>
          <w:rFonts w:hint="eastAsia" w:ascii="仿宋" w:hAnsi="仿宋" w:eastAsia="仿宋"/>
          <w:bCs/>
          <w:sz w:val="24"/>
          <w:szCs w:val="24"/>
          <w:u w:val="single"/>
        </w:rPr>
        <w:t>双方签字盖章</w:t>
      </w:r>
      <w:r>
        <w:rPr>
          <w:rFonts w:ascii="仿宋" w:hAnsi="仿宋" w:eastAsia="仿宋"/>
          <w:bCs/>
          <w:sz w:val="24"/>
          <w:szCs w:val="24"/>
        </w:rPr>
        <w:t>生效。</w:t>
      </w:r>
    </w:p>
    <w:p w14:paraId="58F67CC1">
      <w:pPr>
        <w:pStyle w:val="5"/>
        <w:spacing w:before="120" w:after="120" w:line="300" w:lineRule="auto"/>
        <w:jc w:val="left"/>
        <w:rPr>
          <w:rFonts w:hint="eastAsia" w:ascii="仿宋" w:hAnsi="仿宋" w:eastAsia="仿宋"/>
          <w:bCs/>
          <w:sz w:val="24"/>
          <w:szCs w:val="24"/>
        </w:rPr>
      </w:pPr>
      <w:bookmarkStart w:id="30" w:name="_Toc351203493"/>
      <w:r>
        <w:rPr>
          <w:rFonts w:ascii="仿宋" w:hAnsi="仿宋" w:eastAsia="仿宋"/>
          <w:sz w:val="24"/>
          <w:szCs w:val="24"/>
        </w:rPr>
        <w:t>十三、合同份数</w:t>
      </w:r>
      <w:bookmarkEnd w:id="30"/>
    </w:p>
    <w:p w14:paraId="17EA35EA">
      <w:pPr>
        <w:spacing w:line="300" w:lineRule="auto"/>
        <w:ind w:firstLine="480" w:firstLineChars="200"/>
        <w:jc w:val="left"/>
        <w:rPr>
          <w:rFonts w:hint="eastAsia" w:ascii="仿宋" w:hAnsi="仿宋" w:eastAsia="仿宋"/>
          <w:bCs/>
          <w:sz w:val="24"/>
          <w:szCs w:val="24"/>
        </w:rPr>
      </w:pPr>
      <w:r>
        <w:rPr>
          <w:rFonts w:ascii="仿宋" w:hAnsi="仿宋" w:eastAsia="仿宋"/>
          <w:bCs/>
          <w:sz w:val="24"/>
          <w:szCs w:val="24"/>
        </w:rPr>
        <w:t>本合同一式</w:t>
      </w:r>
      <w:r>
        <w:rPr>
          <w:rFonts w:hint="eastAsia" w:ascii="仿宋" w:hAnsi="仿宋" w:eastAsia="仿宋"/>
          <w:bCs/>
          <w:sz w:val="24"/>
          <w:szCs w:val="24"/>
          <w:u w:val="single"/>
        </w:rPr>
        <w:t>陆</w:t>
      </w:r>
      <w:r>
        <w:rPr>
          <w:rFonts w:ascii="仿宋" w:hAnsi="仿宋" w:eastAsia="仿宋"/>
          <w:bCs/>
          <w:sz w:val="24"/>
          <w:szCs w:val="24"/>
        </w:rPr>
        <w:t>份，均具有同等法律效力，发包人执</w:t>
      </w:r>
      <w:r>
        <w:rPr>
          <w:rFonts w:hint="eastAsia" w:ascii="仿宋" w:hAnsi="仿宋" w:eastAsia="仿宋"/>
          <w:bCs/>
          <w:sz w:val="24"/>
          <w:szCs w:val="24"/>
          <w:u w:val="single"/>
        </w:rPr>
        <w:t>叁</w:t>
      </w:r>
      <w:r>
        <w:rPr>
          <w:rFonts w:ascii="仿宋" w:hAnsi="仿宋" w:eastAsia="仿宋"/>
          <w:bCs/>
          <w:sz w:val="24"/>
          <w:szCs w:val="24"/>
        </w:rPr>
        <w:t>份，承包人执</w:t>
      </w:r>
      <w:r>
        <w:rPr>
          <w:rFonts w:hint="eastAsia" w:ascii="仿宋" w:hAnsi="仿宋" w:eastAsia="仿宋"/>
          <w:bCs/>
          <w:sz w:val="24"/>
          <w:szCs w:val="24"/>
          <w:u w:val="single"/>
        </w:rPr>
        <w:t>叁</w:t>
      </w:r>
      <w:r>
        <w:rPr>
          <w:rFonts w:ascii="仿宋" w:hAnsi="仿宋" w:eastAsia="仿宋"/>
          <w:bCs/>
          <w:sz w:val="24"/>
          <w:szCs w:val="24"/>
        </w:rPr>
        <w:t>份。</w:t>
      </w:r>
    </w:p>
    <w:p w14:paraId="78912313">
      <w:pPr>
        <w:spacing w:line="300" w:lineRule="auto"/>
        <w:jc w:val="left"/>
        <w:rPr>
          <w:rFonts w:hint="eastAsia" w:ascii="仿宋" w:hAnsi="仿宋" w:eastAsia="仿宋"/>
          <w:bCs/>
          <w:sz w:val="24"/>
          <w:szCs w:val="24"/>
        </w:rPr>
      </w:pPr>
    </w:p>
    <w:p w14:paraId="74490B09">
      <w:pPr>
        <w:spacing w:line="300" w:lineRule="auto"/>
        <w:jc w:val="left"/>
        <w:rPr>
          <w:rFonts w:hint="eastAsia" w:ascii="仿宋" w:hAnsi="仿宋" w:eastAsia="仿宋"/>
          <w:sz w:val="24"/>
          <w:szCs w:val="24"/>
        </w:rPr>
      </w:pPr>
    </w:p>
    <w:p w14:paraId="2805BB33">
      <w:pPr>
        <w:spacing w:line="300" w:lineRule="auto"/>
        <w:jc w:val="left"/>
        <w:rPr>
          <w:rFonts w:hint="eastAsia" w:ascii="仿宋" w:hAnsi="仿宋" w:eastAsia="仿宋"/>
          <w:sz w:val="24"/>
          <w:szCs w:val="24"/>
        </w:rPr>
      </w:pPr>
      <w:r>
        <w:rPr>
          <w:rFonts w:ascii="仿宋" w:hAnsi="仿宋" w:eastAsia="仿宋"/>
          <w:sz w:val="24"/>
          <w:szCs w:val="24"/>
        </w:rPr>
        <w:t>发包人</w:t>
      </w:r>
      <w:r>
        <w:rPr>
          <w:rFonts w:hint="eastAsia" w:ascii="仿宋" w:hAnsi="仿宋" w:eastAsia="仿宋"/>
          <w:sz w:val="24"/>
          <w:szCs w:val="24"/>
        </w:rPr>
        <w:t>：</w:t>
      </w:r>
      <w:r>
        <w:rPr>
          <w:rFonts w:ascii="仿宋" w:hAnsi="仿宋" w:eastAsia="仿宋"/>
          <w:sz w:val="24"/>
          <w:szCs w:val="24"/>
        </w:rPr>
        <w:t>(公章)</w:t>
      </w:r>
      <w:r>
        <w:rPr>
          <w:rFonts w:hint="eastAsia" w:ascii="仿宋" w:hAnsi="仿宋" w:eastAsia="仿宋"/>
          <w:sz w:val="24"/>
          <w:szCs w:val="24"/>
        </w:rPr>
        <w:t xml:space="preserve">                  </w:t>
      </w:r>
      <w:r>
        <w:rPr>
          <w:rFonts w:ascii="仿宋" w:hAnsi="仿宋" w:eastAsia="仿宋"/>
          <w:sz w:val="24"/>
          <w:szCs w:val="24"/>
        </w:rPr>
        <w:t>承包人</w:t>
      </w:r>
      <w:r>
        <w:rPr>
          <w:rFonts w:hint="eastAsia" w:ascii="仿宋" w:hAnsi="仿宋" w:eastAsia="仿宋"/>
          <w:sz w:val="24"/>
          <w:szCs w:val="24"/>
        </w:rPr>
        <w:t>：</w:t>
      </w:r>
      <w:r>
        <w:rPr>
          <w:rFonts w:ascii="仿宋" w:hAnsi="仿宋" w:eastAsia="仿宋"/>
          <w:sz w:val="24"/>
          <w:szCs w:val="24"/>
        </w:rPr>
        <w:t>(公章)</w:t>
      </w:r>
    </w:p>
    <w:p w14:paraId="28F66F0D">
      <w:pPr>
        <w:spacing w:line="300" w:lineRule="auto"/>
        <w:jc w:val="left"/>
        <w:rPr>
          <w:rFonts w:hint="eastAsia" w:ascii="仿宋" w:hAnsi="仿宋" w:eastAsia="仿宋"/>
          <w:sz w:val="24"/>
          <w:szCs w:val="24"/>
          <w:u w:val="single"/>
        </w:rPr>
      </w:pPr>
    </w:p>
    <w:p w14:paraId="38618B75">
      <w:pPr>
        <w:spacing w:line="300" w:lineRule="auto"/>
        <w:jc w:val="left"/>
        <w:rPr>
          <w:rFonts w:hint="eastAsia" w:ascii="仿宋" w:hAnsi="仿宋" w:eastAsia="仿宋"/>
          <w:sz w:val="24"/>
          <w:szCs w:val="24"/>
        </w:rPr>
      </w:pPr>
      <w:r>
        <w:rPr>
          <w:rFonts w:hint="eastAsia" w:ascii="仿宋" w:hAnsi="仿宋" w:eastAsia="仿宋"/>
          <w:sz w:val="24"/>
          <w:szCs w:val="24"/>
        </w:rPr>
        <w:t>法定代表人或其委托代理人：    法定代表人或其委托代理人：</w:t>
      </w:r>
    </w:p>
    <w:p w14:paraId="3F4054EA">
      <w:pPr>
        <w:spacing w:line="300" w:lineRule="auto"/>
        <w:jc w:val="left"/>
        <w:rPr>
          <w:rFonts w:hint="eastAsia" w:ascii="仿宋" w:hAnsi="仿宋" w:eastAsia="仿宋"/>
          <w:sz w:val="24"/>
          <w:szCs w:val="24"/>
        </w:rPr>
      </w:pPr>
      <w:r>
        <w:rPr>
          <w:rFonts w:hint="eastAsia" w:ascii="仿宋" w:hAnsi="仿宋" w:eastAsia="仿宋"/>
          <w:sz w:val="24"/>
          <w:szCs w:val="24"/>
        </w:rPr>
        <w:t>（签字）                     （签字）</w:t>
      </w:r>
    </w:p>
    <w:p w14:paraId="6798D084">
      <w:pPr>
        <w:spacing w:line="300" w:lineRule="auto"/>
        <w:jc w:val="left"/>
        <w:rPr>
          <w:rFonts w:hint="eastAsia" w:ascii="仿宋" w:hAnsi="仿宋" w:eastAsia="仿宋"/>
          <w:sz w:val="24"/>
          <w:szCs w:val="24"/>
          <w:u w:val="single"/>
        </w:rPr>
      </w:pPr>
    </w:p>
    <w:p w14:paraId="2BA2C76B">
      <w:pPr>
        <w:tabs>
          <w:tab w:val="left" w:pos="4410"/>
        </w:tabs>
        <w:spacing w:line="300" w:lineRule="auto"/>
        <w:jc w:val="left"/>
        <w:rPr>
          <w:rFonts w:hint="eastAsia" w:ascii="仿宋" w:hAnsi="仿宋" w:eastAsia="仿宋"/>
          <w:sz w:val="24"/>
          <w:szCs w:val="24"/>
        </w:rPr>
      </w:pPr>
      <w:r>
        <w:rPr>
          <w:rFonts w:hint="eastAsia" w:ascii="仿宋" w:hAnsi="仿宋" w:eastAsia="仿宋"/>
          <w:sz w:val="24"/>
          <w:szCs w:val="24"/>
        </w:rPr>
        <w:t>组织机构代码：</w:t>
      </w:r>
      <w:r>
        <w:rPr>
          <w:rFonts w:ascii="仿宋" w:hAnsi="仿宋" w:eastAsia="仿宋"/>
          <w:sz w:val="24"/>
          <w:szCs w:val="24"/>
          <w:u w:val="single"/>
        </w:rPr>
        <w:t xml:space="preserve">      </w:t>
      </w:r>
      <w:r>
        <w:rPr>
          <w:rFonts w:hint="eastAsia" w:ascii="仿宋" w:hAnsi="仿宋" w:eastAsia="仿宋"/>
          <w:sz w:val="24"/>
          <w:szCs w:val="24"/>
          <w:u w:val="single"/>
        </w:rPr>
        <w:t xml:space="preserve">    </w:t>
      </w:r>
      <w:r>
        <w:rPr>
          <w:rFonts w:hint="eastAsia" w:ascii="仿宋" w:hAnsi="仿宋" w:eastAsia="仿宋"/>
          <w:sz w:val="24"/>
          <w:szCs w:val="24"/>
        </w:rPr>
        <w:t>组织机构代码：</w:t>
      </w:r>
      <w:r>
        <w:rPr>
          <w:rFonts w:ascii="仿宋" w:hAnsi="仿宋" w:eastAsia="仿宋"/>
          <w:sz w:val="24"/>
          <w:szCs w:val="24"/>
          <w:u w:val="single"/>
        </w:rPr>
        <w:t>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7F7B3C80">
      <w:pPr>
        <w:spacing w:line="300" w:lineRule="auto"/>
        <w:jc w:val="left"/>
        <w:rPr>
          <w:rFonts w:hint="eastAsia"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    </w:t>
      </w:r>
      <w:r>
        <w:rPr>
          <w:rFonts w:hint="eastAsia" w:ascii="仿宋" w:hAnsi="仿宋" w:eastAsia="仿宋"/>
          <w:sz w:val="24"/>
          <w:szCs w:val="24"/>
          <w:u w:val="single"/>
        </w:rPr>
        <w:t xml:space="preserve">     </w:t>
      </w:r>
      <w:r>
        <w:rPr>
          <w:rFonts w:ascii="仿宋" w:hAnsi="仿宋" w:eastAsia="仿宋"/>
          <w:sz w:val="24"/>
          <w:szCs w:val="24"/>
        </w:rPr>
        <w:t>地址：</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27BB0890">
      <w:pPr>
        <w:spacing w:line="300" w:lineRule="auto"/>
        <w:jc w:val="left"/>
        <w:rPr>
          <w:rFonts w:hint="eastAsia" w:ascii="仿宋" w:hAnsi="仿宋" w:eastAsia="仿宋"/>
          <w:sz w:val="24"/>
          <w:szCs w:val="24"/>
        </w:rPr>
      </w:pPr>
      <w:r>
        <w:rPr>
          <w:rFonts w:ascii="仿宋" w:hAnsi="仿宋" w:eastAsia="仿宋"/>
          <w:sz w:val="24"/>
          <w:szCs w:val="24"/>
        </w:rPr>
        <w:t>邮政编码：</w:t>
      </w:r>
      <w:r>
        <w:rPr>
          <w:rFonts w:ascii="仿宋" w:hAnsi="仿宋" w:eastAsia="仿宋"/>
          <w:sz w:val="24"/>
          <w:szCs w:val="24"/>
          <w:u w:val="single"/>
        </w:rPr>
        <w:t xml:space="preserve">   </w:t>
      </w:r>
      <w:r>
        <w:rPr>
          <w:rFonts w:hint="eastAsia" w:ascii="仿宋" w:hAnsi="仿宋" w:eastAsia="仿宋"/>
          <w:sz w:val="24"/>
          <w:szCs w:val="24"/>
          <w:u w:val="single"/>
        </w:rPr>
        <w:t xml:space="preserve">     </w:t>
      </w:r>
      <w:r>
        <w:rPr>
          <w:rFonts w:ascii="仿宋" w:hAnsi="仿宋" w:eastAsia="仿宋"/>
          <w:sz w:val="24"/>
          <w:szCs w:val="24"/>
        </w:rPr>
        <w:t>邮政编码：</w:t>
      </w:r>
      <w:r>
        <w:rPr>
          <w:rFonts w:ascii="仿宋" w:hAnsi="仿宋" w:eastAsia="仿宋"/>
          <w:sz w:val="24"/>
          <w:szCs w:val="24"/>
          <w:u w:val="single"/>
        </w:rPr>
        <w:t xml:space="preserve">   </w:t>
      </w:r>
    </w:p>
    <w:p w14:paraId="250F29AE">
      <w:pPr>
        <w:spacing w:line="300" w:lineRule="auto"/>
        <w:jc w:val="left"/>
        <w:rPr>
          <w:rFonts w:hint="eastAsia" w:ascii="仿宋" w:hAnsi="仿宋" w:eastAsia="仿宋"/>
          <w:sz w:val="24"/>
          <w:szCs w:val="24"/>
          <w:u w:val="single"/>
        </w:rPr>
      </w:pPr>
      <w:r>
        <w:rPr>
          <w:rFonts w:ascii="仿宋" w:hAnsi="仿宋" w:eastAsia="仿宋"/>
          <w:sz w:val="24"/>
          <w:szCs w:val="24"/>
        </w:rPr>
        <w:t>法定代表人：</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rPr>
        <w:t>法定代表人：</w:t>
      </w:r>
      <w:r>
        <w:rPr>
          <w:rFonts w:hint="eastAsia" w:ascii="仿宋" w:hAnsi="仿宋" w:eastAsia="仿宋"/>
          <w:sz w:val="24"/>
          <w:szCs w:val="24"/>
        </w:rPr>
        <w:t xml:space="preserve"> </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w:t>
      </w:r>
    </w:p>
    <w:p w14:paraId="696B6F21">
      <w:pPr>
        <w:spacing w:line="300" w:lineRule="auto"/>
        <w:jc w:val="left"/>
        <w:rPr>
          <w:rFonts w:hint="eastAsia" w:ascii="仿宋" w:hAnsi="仿宋" w:eastAsia="仿宋"/>
          <w:sz w:val="24"/>
          <w:szCs w:val="24"/>
        </w:rPr>
      </w:pPr>
      <w:r>
        <w:rPr>
          <w:rFonts w:ascii="仿宋" w:hAnsi="仿宋" w:eastAsia="仿宋"/>
          <w:sz w:val="24"/>
          <w:szCs w:val="24"/>
        </w:rPr>
        <w:t>委托代理人：</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rPr>
        <w:t>委托代理人：</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3F15D3EF">
      <w:pPr>
        <w:spacing w:line="300" w:lineRule="auto"/>
        <w:jc w:val="left"/>
        <w:rPr>
          <w:rFonts w:hint="eastAsia" w:ascii="仿宋" w:hAnsi="仿宋" w:eastAsia="仿宋"/>
          <w:sz w:val="24"/>
          <w:szCs w:val="24"/>
        </w:rPr>
      </w:pPr>
      <w:r>
        <w:rPr>
          <w:rFonts w:ascii="仿宋" w:hAnsi="仿宋" w:eastAsia="仿宋"/>
          <w:sz w:val="24"/>
          <w:szCs w:val="24"/>
        </w:rPr>
        <w:t>电话：</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rPr>
        <w:t>电话：</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w:t>
      </w:r>
    </w:p>
    <w:p w14:paraId="3061826E">
      <w:pPr>
        <w:spacing w:line="300" w:lineRule="auto"/>
        <w:jc w:val="left"/>
        <w:rPr>
          <w:rFonts w:hint="eastAsia" w:ascii="仿宋" w:hAnsi="仿宋" w:eastAsia="仿宋"/>
          <w:sz w:val="24"/>
          <w:szCs w:val="24"/>
        </w:rPr>
      </w:pPr>
      <w:r>
        <w:rPr>
          <w:rFonts w:ascii="仿宋" w:hAnsi="仿宋" w:eastAsia="仿宋"/>
          <w:sz w:val="24"/>
          <w:szCs w:val="24"/>
        </w:rPr>
        <w:t>传真：</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rPr>
        <w:t>传真：</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p>
    <w:p w14:paraId="26592A96">
      <w:pPr>
        <w:spacing w:line="300" w:lineRule="auto"/>
        <w:jc w:val="left"/>
        <w:rPr>
          <w:rFonts w:hint="eastAsia" w:ascii="仿宋" w:hAnsi="仿宋" w:eastAsia="仿宋"/>
          <w:sz w:val="24"/>
          <w:szCs w:val="24"/>
        </w:rPr>
      </w:pPr>
      <w:r>
        <w:rPr>
          <w:rFonts w:ascii="仿宋" w:hAnsi="仿宋" w:eastAsia="仿宋"/>
          <w:sz w:val="24"/>
          <w:szCs w:val="24"/>
        </w:rPr>
        <w:t>电子信箱：</w:t>
      </w:r>
      <w:r>
        <w:rPr>
          <w:rFonts w:hint="eastAsia" w:ascii="仿宋" w:hAnsi="仿宋" w:eastAsia="仿宋"/>
          <w:sz w:val="24"/>
          <w:szCs w:val="24"/>
          <w:u w:val="single"/>
        </w:rPr>
        <w:t xml:space="preserve">                    </w:t>
      </w:r>
      <w:r>
        <w:rPr>
          <w:rFonts w:ascii="仿宋" w:hAnsi="仿宋" w:eastAsia="仿宋"/>
          <w:sz w:val="24"/>
          <w:szCs w:val="24"/>
        </w:rPr>
        <w:t>电子信箱：</w:t>
      </w:r>
      <w:r>
        <w:rPr>
          <w:rFonts w:ascii="仿宋" w:hAnsi="仿宋" w:eastAsia="仿宋"/>
          <w:sz w:val="24"/>
          <w:szCs w:val="24"/>
          <w:u w:val="single"/>
        </w:rPr>
        <w:t xml:space="preserve">   </w:t>
      </w:r>
    </w:p>
    <w:p w14:paraId="6C73CE53">
      <w:pPr>
        <w:spacing w:line="300" w:lineRule="auto"/>
        <w:jc w:val="left"/>
        <w:rPr>
          <w:rFonts w:hint="eastAsia" w:ascii="仿宋" w:hAnsi="仿宋" w:eastAsia="仿宋"/>
          <w:sz w:val="24"/>
          <w:szCs w:val="24"/>
        </w:rPr>
      </w:pPr>
      <w:r>
        <w:rPr>
          <w:rFonts w:ascii="仿宋" w:hAnsi="仿宋" w:eastAsia="仿宋"/>
          <w:sz w:val="24"/>
          <w:szCs w:val="24"/>
        </w:rPr>
        <w:t>开户银行：</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rPr>
        <w:t>开户银行：</w:t>
      </w:r>
      <w:r>
        <w:rPr>
          <w:rFonts w:ascii="仿宋" w:hAnsi="仿宋" w:eastAsia="仿宋"/>
          <w:sz w:val="24"/>
          <w:szCs w:val="24"/>
          <w:u w:val="single"/>
        </w:rPr>
        <w:t xml:space="preserve">   </w:t>
      </w:r>
    </w:p>
    <w:p w14:paraId="4984CCF6">
      <w:pPr>
        <w:spacing w:line="300" w:lineRule="auto"/>
        <w:jc w:val="left"/>
        <w:rPr>
          <w:rFonts w:hint="eastAsia" w:ascii="仿宋" w:hAnsi="仿宋" w:eastAsia="仿宋"/>
          <w:sz w:val="24"/>
          <w:szCs w:val="24"/>
        </w:rPr>
      </w:pPr>
      <w:r>
        <w:rPr>
          <w:rFonts w:ascii="仿宋" w:hAnsi="仿宋" w:eastAsia="仿宋"/>
          <w:sz w:val="24"/>
          <w:szCs w:val="24"/>
        </w:rPr>
        <w:t>账号：</w:t>
      </w:r>
      <w:r>
        <w:rPr>
          <w:rFonts w:ascii="仿宋" w:hAnsi="仿宋" w:eastAsia="仿宋"/>
          <w:sz w:val="24"/>
          <w:szCs w:val="24"/>
          <w:u w:val="single"/>
        </w:rPr>
        <w:t xml:space="preserve">       </w:t>
      </w:r>
      <w:r>
        <w:rPr>
          <w:rFonts w:hint="eastAsia" w:ascii="仿宋" w:hAnsi="仿宋" w:eastAsia="仿宋"/>
          <w:sz w:val="24"/>
          <w:szCs w:val="24"/>
          <w:u w:val="single"/>
        </w:rPr>
        <w:t xml:space="preserve">     </w:t>
      </w:r>
      <w:r>
        <w:rPr>
          <w:rFonts w:ascii="仿宋" w:hAnsi="仿宋" w:eastAsia="仿宋"/>
          <w:sz w:val="24"/>
          <w:szCs w:val="24"/>
        </w:rPr>
        <w:t>账号：</w:t>
      </w:r>
      <w:r>
        <w:rPr>
          <w:rFonts w:ascii="仿宋" w:hAnsi="仿宋" w:eastAsia="仿宋"/>
          <w:sz w:val="24"/>
          <w:szCs w:val="24"/>
          <w:u w:val="single"/>
        </w:rPr>
        <w:t></w:t>
      </w:r>
      <w:r>
        <w:rPr>
          <w:rFonts w:hint="eastAsia" w:ascii="仿宋" w:hAnsi="仿宋" w:eastAsia="仿宋"/>
          <w:sz w:val="24"/>
          <w:szCs w:val="24"/>
          <w:u w:val="single"/>
        </w:rPr>
        <w:t xml:space="preserve">       </w:t>
      </w:r>
      <w:r>
        <w:rPr>
          <w:rFonts w:ascii="仿宋" w:hAnsi="仿宋" w:eastAsia="仿宋"/>
          <w:sz w:val="24"/>
          <w:szCs w:val="24"/>
          <w:u w:val="single"/>
        </w:rPr>
        <w:t></w:t>
      </w:r>
    </w:p>
    <w:p w14:paraId="79EBB5C3">
      <w:pPr>
        <w:pStyle w:val="4"/>
        <w:rPr>
          <w:rFonts w:hint="eastAsia" w:ascii="华文中宋" w:hAnsi="华文中宋" w:eastAsia="华文中宋"/>
          <w:sz w:val="28"/>
          <w:szCs w:val="28"/>
        </w:rPr>
      </w:pPr>
      <w:r>
        <w:rPr>
          <w:rFonts w:ascii="仿宋" w:hAnsi="仿宋" w:eastAsia="仿宋"/>
          <w:sz w:val="24"/>
          <w:szCs w:val="24"/>
        </w:rPr>
        <w:br w:type="page"/>
      </w:r>
      <w:bookmarkStart w:id="31" w:name="_Toc351203632"/>
      <w:r>
        <w:rPr>
          <w:rFonts w:ascii="华文中宋" w:hAnsi="华文中宋" w:eastAsia="华文中宋"/>
          <w:sz w:val="28"/>
          <w:szCs w:val="28"/>
        </w:rPr>
        <w:t>第</w:t>
      </w:r>
      <w:r>
        <w:rPr>
          <w:rFonts w:hint="eastAsia" w:ascii="华文中宋" w:hAnsi="华文中宋" w:eastAsia="华文中宋"/>
          <w:sz w:val="28"/>
          <w:szCs w:val="28"/>
        </w:rPr>
        <w:t>二</w:t>
      </w:r>
      <w:r>
        <w:rPr>
          <w:rFonts w:ascii="华文中宋" w:hAnsi="华文中宋" w:eastAsia="华文中宋"/>
          <w:sz w:val="28"/>
          <w:szCs w:val="28"/>
        </w:rPr>
        <w:t xml:space="preserve">部分 </w:t>
      </w:r>
      <w:r>
        <w:rPr>
          <w:rFonts w:hint="eastAsia" w:ascii="华文中宋" w:hAnsi="华文中宋" w:eastAsia="华文中宋"/>
          <w:sz w:val="28"/>
          <w:szCs w:val="28"/>
        </w:rPr>
        <w:t>通用合同条款</w:t>
      </w:r>
    </w:p>
    <w:p w14:paraId="68498EA6">
      <w:pPr>
        <w:pStyle w:val="4"/>
        <w:rPr>
          <w:sz w:val="24"/>
          <w:szCs w:val="24"/>
        </w:rPr>
      </w:pPr>
      <w:r>
        <w:rPr>
          <w:rFonts w:hint="eastAsia"/>
          <w:sz w:val="24"/>
          <w:szCs w:val="24"/>
        </w:rPr>
        <w:t>采用《建设工程施工合同（示范文本）》（GF-2017-0201）</w:t>
      </w:r>
    </w:p>
    <w:p w14:paraId="060045E6">
      <w:pPr>
        <w:pStyle w:val="4"/>
        <w:rPr>
          <w:rFonts w:hint="eastAsia" w:ascii="华文中宋" w:hAnsi="华文中宋" w:eastAsia="华文中宋"/>
          <w:sz w:val="28"/>
          <w:szCs w:val="28"/>
        </w:rPr>
      </w:pPr>
      <w:r>
        <w:rPr>
          <w:rFonts w:ascii="华文中宋" w:hAnsi="华文中宋" w:eastAsia="华文中宋"/>
          <w:sz w:val="28"/>
          <w:szCs w:val="28"/>
        </w:rPr>
        <w:t xml:space="preserve">第三部分 </w:t>
      </w:r>
      <w:r>
        <w:rPr>
          <w:rFonts w:hint="eastAsia" w:ascii="华文中宋" w:hAnsi="华文中宋" w:eastAsia="华文中宋"/>
          <w:sz w:val="28"/>
          <w:szCs w:val="28"/>
        </w:rPr>
        <w:t>专用合同条款</w:t>
      </w:r>
      <w:bookmarkEnd w:id="31"/>
    </w:p>
    <w:p w14:paraId="2447A42F">
      <w:pPr>
        <w:pStyle w:val="5"/>
        <w:adjustRightInd w:val="0"/>
        <w:snapToGrid w:val="0"/>
        <w:spacing w:before="120" w:after="120" w:line="300" w:lineRule="auto"/>
        <w:jc w:val="left"/>
        <w:rPr>
          <w:rFonts w:ascii="Verdana" w:hAnsi="Verdana"/>
          <w:b/>
          <w:sz w:val="24"/>
          <w:szCs w:val="24"/>
        </w:rPr>
      </w:pPr>
      <w:bookmarkStart w:id="32" w:name="_Toc351203633"/>
      <w:r>
        <w:rPr>
          <w:rFonts w:ascii="Verdana" w:hAnsi="Verdana"/>
          <w:sz w:val="24"/>
          <w:szCs w:val="24"/>
        </w:rPr>
        <w:t>1</w:t>
      </w:r>
      <w:bookmarkStart w:id="33" w:name="_Toc297120456"/>
      <w:bookmarkStart w:id="34" w:name="_Toc296891196"/>
      <w:bookmarkStart w:id="35" w:name="_Toc292559361"/>
      <w:bookmarkStart w:id="36" w:name="_Toc296347155"/>
      <w:bookmarkStart w:id="37" w:name="_Toc297048342"/>
      <w:bookmarkStart w:id="38" w:name="_Toc296346657"/>
      <w:bookmarkStart w:id="39" w:name="_Toc296944495"/>
      <w:bookmarkStart w:id="40" w:name="_Toc296890984"/>
      <w:bookmarkStart w:id="41" w:name="_Toc292559866"/>
      <w:bookmarkStart w:id="42" w:name="_Toc296503156"/>
      <w:r>
        <w:rPr>
          <w:rFonts w:ascii="Verdana" w:hAnsi="Verdana"/>
          <w:sz w:val="24"/>
          <w:szCs w:val="24"/>
        </w:rPr>
        <w:t xml:space="preserve">. </w:t>
      </w:r>
      <w:r>
        <w:rPr>
          <w:rFonts w:ascii="Verdana"/>
          <w:sz w:val="24"/>
          <w:szCs w:val="24"/>
        </w:rPr>
        <w:t>一般约定</w:t>
      </w:r>
      <w:bookmarkEnd w:id="32"/>
    </w:p>
    <w:bookmarkEnd w:id="33"/>
    <w:bookmarkEnd w:id="34"/>
    <w:bookmarkEnd w:id="35"/>
    <w:bookmarkEnd w:id="36"/>
    <w:bookmarkEnd w:id="37"/>
    <w:bookmarkEnd w:id="38"/>
    <w:bookmarkEnd w:id="39"/>
    <w:bookmarkEnd w:id="40"/>
    <w:bookmarkEnd w:id="41"/>
    <w:bookmarkEnd w:id="42"/>
    <w:p w14:paraId="5383B37C">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1.1 </w:t>
      </w:r>
      <w:r>
        <w:rPr>
          <w:rFonts w:ascii="Verdana" w:eastAsia="黑体"/>
          <w:sz w:val="24"/>
          <w:szCs w:val="24"/>
        </w:rPr>
        <w:t>词语定义</w:t>
      </w:r>
    </w:p>
    <w:p w14:paraId="5B837E0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1.1.1</w:t>
      </w:r>
      <w:r>
        <w:rPr>
          <w:rFonts w:ascii="Verdana" w:eastAsia="仿宋_GB2312"/>
          <w:sz w:val="24"/>
          <w:szCs w:val="24"/>
        </w:rPr>
        <w:t>合同</w:t>
      </w:r>
    </w:p>
    <w:p w14:paraId="3E12475F">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1.1.1.10</w:t>
      </w:r>
      <w:r>
        <w:rPr>
          <w:rFonts w:ascii="Verdana" w:eastAsia="仿宋_GB2312"/>
          <w:sz w:val="24"/>
          <w:szCs w:val="24"/>
        </w:rPr>
        <w:t>其他合同文件包括：</w:t>
      </w:r>
      <w:r>
        <w:rPr>
          <w:rFonts w:ascii="Verdana" w:hAnsi="Verdana" w:eastAsia="仿宋_GB2312"/>
          <w:sz w:val="24"/>
          <w:szCs w:val="24"/>
          <w:u w:val="single"/>
        </w:rPr>
        <w:t>1</w:t>
      </w:r>
      <w:r>
        <w:rPr>
          <w:rFonts w:ascii="Verdana" w:eastAsia="仿宋_GB2312"/>
          <w:sz w:val="24"/>
          <w:szCs w:val="24"/>
          <w:u w:val="single"/>
        </w:rPr>
        <w:t>）招标投标时的澄清和修改文件；（</w:t>
      </w:r>
      <w:r>
        <w:rPr>
          <w:rFonts w:ascii="Verdana" w:hAnsi="Verdana" w:eastAsia="仿宋_GB2312"/>
          <w:sz w:val="24"/>
          <w:szCs w:val="24"/>
          <w:u w:val="single"/>
        </w:rPr>
        <w:t>2</w:t>
      </w:r>
      <w:r>
        <w:rPr>
          <w:rFonts w:ascii="Verdana" w:eastAsia="仿宋_GB2312"/>
          <w:sz w:val="24"/>
          <w:szCs w:val="24"/>
          <w:u w:val="single"/>
        </w:rPr>
        <w:t>）投标文件其它内容；（</w:t>
      </w:r>
      <w:r>
        <w:rPr>
          <w:rFonts w:ascii="Verdana" w:hAnsi="Verdana" w:eastAsia="仿宋_GB2312"/>
          <w:sz w:val="24"/>
          <w:szCs w:val="24"/>
          <w:u w:val="single"/>
        </w:rPr>
        <w:t>3</w:t>
      </w:r>
      <w:r>
        <w:rPr>
          <w:rFonts w:ascii="Verdana" w:eastAsia="仿宋_GB2312"/>
          <w:sz w:val="24"/>
          <w:szCs w:val="24"/>
          <w:u w:val="single"/>
        </w:rPr>
        <w:t>）在合同订立及履行过程中，发承包双方书面确认的对合同内容有实质性影响的会议纪要、工程变更签证、补充协议等资料；（</w:t>
      </w:r>
      <w:r>
        <w:rPr>
          <w:rFonts w:ascii="Verdana" w:hAnsi="Verdana" w:eastAsia="仿宋_GB2312"/>
          <w:sz w:val="24"/>
          <w:szCs w:val="24"/>
          <w:u w:val="single"/>
        </w:rPr>
        <w:t>4</w:t>
      </w:r>
      <w:r>
        <w:rPr>
          <w:rFonts w:ascii="Verdana" w:eastAsia="仿宋_GB2312"/>
          <w:sz w:val="24"/>
          <w:szCs w:val="24"/>
          <w:u w:val="single"/>
        </w:rPr>
        <w:t>）施工组织设计：施工组织设计是用来指导施工项目全过程各项活动的技术、经济和组织的综合性文件</w:t>
      </w:r>
    </w:p>
    <w:p w14:paraId="436D9A2B">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1.1.2 </w:t>
      </w:r>
      <w:r>
        <w:rPr>
          <w:rFonts w:ascii="Verdana" w:eastAsia="仿宋_GB2312"/>
          <w:sz w:val="24"/>
          <w:szCs w:val="24"/>
        </w:rPr>
        <w:t>合同当事人及其他相关方</w:t>
      </w:r>
    </w:p>
    <w:p w14:paraId="39CC720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1.1.2.4</w:t>
      </w:r>
      <w:r>
        <w:rPr>
          <w:rFonts w:ascii="Verdana" w:eastAsia="仿宋_GB2312"/>
          <w:sz w:val="24"/>
          <w:szCs w:val="24"/>
        </w:rPr>
        <w:t>监理人：</w:t>
      </w:r>
    </w:p>
    <w:p w14:paraId="7419EB2A">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名称：</w:t>
      </w:r>
      <w:r>
        <w:rPr>
          <w:rFonts w:ascii="Verdana" w:hAnsi="Verdana" w:eastAsia="仿宋_GB2312"/>
          <w:sz w:val="24"/>
          <w:szCs w:val="24"/>
          <w:u w:val="single"/>
        </w:rPr>
        <w:t xml:space="preserve">    </w:t>
      </w:r>
      <w:r>
        <w:rPr>
          <w:rFonts w:ascii="Verdana" w:eastAsia="仿宋_GB2312"/>
          <w:sz w:val="24"/>
          <w:szCs w:val="24"/>
        </w:rPr>
        <w:t>；</w:t>
      </w:r>
    </w:p>
    <w:p w14:paraId="0A48A0EF">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资质类别和等级：</w:t>
      </w:r>
      <w:r>
        <w:rPr>
          <w:rFonts w:ascii="Verdana" w:hAnsi="Verdana" w:eastAsia="仿宋_GB2312"/>
          <w:sz w:val="24"/>
          <w:szCs w:val="24"/>
          <w:u w:val="single"/>
        </w:rPr>
        <w:t>  </w:t>
      </w:r>
      <w:r>
        <w:rPr>
          <w:rFonts w:ascii="Verdana" w:eastAsia="仿宋_GB2312"/>
          <w:sz w:val="24"/>
          <w:szCs w:val="24"/>
        </w:rPr>
        <w:t>；</w:t>
      </w:r>
    </w:p>
    <w:p w14:paraId="5D36D084">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联系电话：</w:t>
      </w:r>
      <w:r>
        <w:rPr>
          <w:rFonts w:ascii="Verdana" w:hAnsi="Verdana" w:eastAsia="仿宋_GB2312"/>
          <w:sz w:val="24"/>
          <w:szCs w:val="24"/>
          <w:u w:val="single"/>
        </w:rPr>
        <w:t>    </w:t>
      </w:r>
      <w:r>
        <w:rPr>
          <w:rFonts w:ascii="Verdana" w:eastAsia="仿宋_GB2312"/>
          <w:sz w:val="24"/>
          <w:szCs w:val="24"/>
        </w:rPr>
        <w:t>；</w:t>
      </w:r>
    </w:p>
    <w:p w14:paraId="0E49C678">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电子信箱：</w:t>
      </w:r>
      <w:r>
        <w:rPr>
          <w:rFonts w:ascii="Verdana" w:hAnsi="Verdana" w:eastAsia="仿宋_GB2312"/>
          <w:sz w:val="24"/>
          <w:szCs w:val="24"/>
          <w:u w:val="single"/>
        </w:rPr>
        <w:t>    </w:t>
      </w:r>
      <w:r>
        <w:rPr>
          <w:rFonts w:ascii="Verdana" w:eastAsia="仿宋_GB2312"/>
          <w:sz w:val="24"/>
          <w:szCs w:val="24"/>
        </w:rPr>
        <w:t>；</w:t>
      </w:r>
    </w:p>
    <w:p w14:paraId="6B6EDF67">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通信地址：</w:t>
      </w:r>
      <w:r>
        <w:rPr>
          <w:rFonts w:ascii="Verdana" w:hAnsi="Verdana" w:eastAsia="仿宋_GB2312"/>
          <w:sz w:val="24"/>
          <w:szCs w:val="24"/>
          <w:u w:val="single"/>
        </w:rPr>
        <w:t>    </w:t>
      </w:r>
      <w:r>
        <w:rPr>
          <w:rFonts w:ascii="Verdana" w:eastAsia="仿宋_GB2312"/>
          <w:sz w:val="24"/>
          <w:szCs w:val="24"/>
        </w:rPr>
        <w:t>。</w:t>
      </w:r>
    </w:p>
    <w:p w14:paraId="3DE978F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1.1.2.5 </w:t>
      </w:r>
      <w:r>
        <w:rPr>
          <w:rFonts w:ascii="Verdana" w:eastAsia="仿宋_GB2312"/>
          <w:sz w:val="24"/>
          <w:szCs w:val="24"/>
        </w:rPr>
        <w:t>设计人：</w:t>
      </w:r>
    </w:p>
    <w:p w14:paraId="685CE226">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名称：</w:t>
      </w:r>
      <w:r>
        <w:rPr>
          <w:rFonts w:ascii="Verdana" w:hAnsi="Verdana" w:eastAsia="仿宋_GB2312"/>
          <w:sz w:val="24"/>
          <w:szCs w:val="24"/>
          <w:u w:val="single"/>
        </w:rPr>
        <w:t xml:space="preserve">    </w:t>
      </w:r>
      <w:r>
        <w:rPr>
          <w:rFonts w:ascii="Verdana" w:eastAsia="仿宋_GB2312"/>
          <w:sz w:val="24"/>
          <w:szCs w:val="24"/>
        </w:rPr>
        <w:t>；</w:t>
      </w:r>
    </w:p>
    <w:p w14:paraId="00F3471C">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资质类别和等级：</w:t>
      </w:r>
      <w:r>
        <w:rPr>
          <w:rFonts w:ascii="Verdana" w:hAnsi="Verdana" w:eastAsia="仿宋_GB2312"/>
          <w:sz w:val="24"/>
          <w:szCs w:val="24"/>
          <w:u w:val="single"/>
        </w:rPr>
        <w:t>  </w:t>
      </w:r>
      <w:r>
        <w:rPr>
          <w:rFonts w:ascii="Verdana" w:eastAsia="仿宋_GB2312"/>
          <w:sz w:val="24"/>
          <w:szCs w:val="24"/>
        </w:rPr>
        <w:t>；</w:t>
      </w:r>
    </w:p>
    <w:p w14:paraId="6B5F55AF">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联系电话：</w:t>
      </w:r>
      <w:r>
        <w:rPr>
          <w:rFonts w:ascii="Verdana" w:hAnsi="Verdana" w:eastAsia="仿宋_GB2312"/>
          <w:sz w:val="24"/>
          <w:szCs w:val="24"/>
          <w:u w:val="single"/>
        </w:rPr>
        <w:t>    </w:t>
      </w:r>
      <w:r>
        <w:rPr>
          <w:rFonts w:ascii="Verdana" w:eastAsia="仿宋_GB2312"/>
          <w:sz w:val="24"/>
          <w:szCs w:val="24"/>
        </w:rPr>
        <w:t>；</w:t>
      </w:r>
    </w:p>
    <w:p w14:paraId="1447BAFF">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电子信箱：</w:t>
      </w:r>
      <w:r>
        <w:rPr>
          <w:rFonts w:ascii="Verdana" w:hAnsi="Verdana" w:eastAsia="仿宋_GB2312"/>
          <w:sz w:val="24"/>
          <w:szCs w:val="24"/>
          <w:u w:val="single"/>
        </w:rPr>
        <w:t>    </w:t>
      </w:r>
      <w:r>
        <w:rPr>
          <w:rFonts w:ascii="Verdana" w:eastAsia="仿宋_GB2312"/>
          <w:sz w:val="24"/>
          <w:szCs w:val="24"/>
        </w:rPr>
        <w:t>；</w:t>
      </w:r>
    </w:p>
    <w:p w14:paraId="7F170E4C">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通信地址：</w:t>
      </w:r>
      <w:r>
        <w:rPr>
          <w:rFonts w:ascii="Verdana" w:hAnsi="Verdana" w:eastAsia="仿宋_GB2312"/>
          <w:sz w:val="24"/>
          <w:szCs w:val="24"/>
          <w:u w:val="single"/>
        </w:rPr>
        <w:t>    </w:t>
      </w:r>
      <w:r>
        <w:rPr>
          <w:rFonts w:ascii="Verdana" w:eastAsia="仿宋_GB2312"/>
          <w:sz w:val="24"/>
          <w:szCs w:val="24"/>
        </w:rPr>
        <w:t>。</w:t>
      </w:r>
    </w:p>
    <w:p w14:paraId="4CB22FEC">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1.1.3 </w:t>
      </w:r>
      <w:r>
        <w:rPr>
          <w:rFonts w:ascii="Verdana" w:eastAsia="仿宋_GB2312"/>
          <w:sz w:val="24"/>
          <w:szCs w:val="24"/>
        </w:rPr>
        <w:t>工程和设备</w:t>
      </w:r>
    </w:p>
    <w:p w14:paraId="4DB1A4EE">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 xml:space="preserve">1.1.3.7 </w:t>
      </w:r>
      <w:r>
        <w:rPr>
          <w:rFonts w:ascii="Verdana" w:eastAsia="仿宋_GB2312"/>
          <w:sz w:val="24"/>
          <w:szCs w:val="24"/>
        </w:rPr>
        <w:t>作为施工现场组成部分的其他场所包括：</w:t>
      </w:r>
      <w:r>
        <w:rPr>
          <w:rFonts w:ascii="Verdana" w:eastAsia="仿宋_GB2312"/>
          <w:sz w:val="24"/>
          <w:szCs w:val="24"/>
          <w:u w:val="single"/>
        </w:rPr>
        <w:t>发包人指定</w:t>
      </w:r>
    </w:p>
    <w:p w14:paraId="12E2BD5B">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1.1.3.9 </w:t>
      </w:r>
      <w:r>
        <w:rPr>
          <w:rFonts w:ascii="Verdana" w:eastAsia="仿宋_GB2312"/>
          <w:sz w:val="24"/>
          <w:szCs w:val="24"/>
        </w:rPr>
        <w:t>永久占地包括：</w:t>
      </w:r>
      <w:r>
        <w:rPr>
          <w:rFonts w:ascii="Verdana" w:eastAsia="仿宋_GB2312"/>
          <w:sz w:val="24"/>
          <w:szCs w:val="24"/>
          <w:u w:val="single"/>
        </w:rPr>
        <w:t>由发包人指定</w:t>
      </w:r>
      <w:r>
        <w:rPr>
          <w:rFonts w:ascii="Verdana" w:hAnsi="Verdana" w:eastAsia="仿宋_GB2312"/>
          <w:sz w:val="24"/>
          <w:szCs w:val="24"/>
          <w:u w:val="single"/>
        </w:rPr>
        <w:t></w:t>
      </w:r>
      <w:r>
        <w:rPr>
          <w:rFonts w:ascii="Verdana" w:eastAsia="仿宋_GB2312"/>
          <w:sz w:val="24"/>
          <w:szCs w:val="24"/>
        </w:rPr>
        <w:t>。</w:t>
      </w:r>
    </w:p>
    <w:p w14:paraId="6F4F13A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1.1.3.10 </w:t>
      </w:r>
      <w:r>
        <w:rPr>
          <w:rFonts w:ascii="Verdana" w:eastAsia="仿宋_GB2312"/>
          <w:sz w:val="24"/>
          <w:szCs w:val="24"/>
        </w:rPr>
        <w:t>临时占地包括：</w:t>
      </w:r>
      <w:r>
        <w:rPr>
          <w:rFonts w:ascii="Verdana" w:eastAsia="仿宋_GB2312"/>
          <w:sz w:val="24"/>
          <w:szCs w:val="24"/>
          <w:u w:val="single"/>
        </w:rPr>
        <w:t>经发包人批准的为实施合同工程需临时占用的土地</w:t>
      </w:r>
      <w:r>
        <w:rPr>
          <w:rFonts w:ascii="Verdana" w:eastAsia="仿宋_GB2312"/>
          <w:sz w:val="24"/>
          <w:szCs w:val="24"/>
        </w:rPr>
        <w:t>。</w:t>
      </w:r>
    </w:p>
    <w:p w14:paraId="544A125D">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1.3</w:t>
      </w:r>
      <w:r>
        <w:rPr>
          <w:rFonts w:ascii="Verdana" w:eastAsia="黑体"/>
          <w:sz w:val="24"/>
          <w:szCs w:val="24"/>
        </w:rPr>
        <w:t>法律</w:t>
      </w:r>
    </w:p>
    <w:p w14:paraId="24FF0340">
      <w:pPr>
        <w:adjustRightInd w:val="0"/>
        <w:snapToGrid w:val="0"/>
        <w:spacing w:line="300" w:lineRule="auto"/>
        <w:ind w:firstLine="480" w:firstLineChars="200"/>
        <w:rPr>
          <w:rFonts w:ascii="Verdana" w:eastAsia="仿宋_GB2312"/>
          <w:sz w:val="24"/>
          <w:szCs w:val="24"/>
          <w:u w:val="single"/>
        </w:rPr>
      </w:pPr>
      <w:r>
        <w:rPr>
          <w:rFonts w:ascii="Verdana" w:eastAsia="仿宋_GB2312"/>
          <w:sz w:val="24"/>
          <w:szCs w:val="24"/>
        </w:rPr>
        <w:t>适用于合同的其他规范性文件：</w:t>
      </w:r>
      <w:r>
        <w:rPr>
          <w:rFonts w:ascii="Verdana" w:eastAsia="仿宋_GB2312"/>
          <w:sz w:val="24"/>
          <w:szCs w:val="24"/>
          <w:u w:val="single"/>
        </w:rPr>
        <w:t>《中华人民共和国民法典》、《中华人民共和国建筑法》、《中华人民共和国招标投标法》、《江苏省工程建设管理条例》、以及国家和地方现行的法律法规的规定。</w:t>
      </w:r>
    </w:p>
    <w:p w14:paraId="0F740A3B">
      <w:pPr>
        <w:adjustRightInd w:val="0"/>
        <w:snapToGrid w:val="0"/>
        <w:spacing w:line="300" w:lineRule="auto"/>
        <w:ind w:firstLine="480" w:firstLineChars="200"/>
        <w:rPr>
          <w:rFonts w:ascii="Verdana" w:hAnsi="Verdana" w:eastAsia="黑体"/>
          <w:sz w:val="24"/>
          <w:szCs w:val="24"/>
        </w:rPr>
      </w:pPr>
      <w:r>
        <w:rPr>
          <w:rFonts w:ascii="Verdana" w:hAnsi="Verdana" w:eastAsia="黑体"/>
          <w:sz w:val="24"/>
          <w:szCs w:val="24"/>
        </w:rPr>
        <w:t xml:space="preserve">1.4 </w:t>
      </w:r>
      <w:r>
        <w:rPr>
          <w:rFonts w:ascii="Verdana" w:eastAsia="黑体"/>
          <w:sz w:val="24"/>
          <w:szCs w:val="24"/>
        </w:rPr>
        <w:t>标准和规范</w:t>
      </w:r>
    </w:p>
    <w:p w14:paraId="3CB07DA7">
      <w:pPr>
        <w:adjustRightInd w:val="0"/>
        <w:snapToGrid w:val="0"/>
        <w:spacing w:line="300" w:lineRule="auto"/>
        <w:ind w:left="596" w:leftChars="284"/>
        <w:rPr>
          <w:rFonts w:ascii="Verdana" w:hAnsi="Verdana" w:eastAsia="仿宋_GB2312"/>
          <w:sz w:val="24"/>
          <w:szCs w:val="24"/>
          <w:u w:val="single"/>
        </w:rPr>
      </w:pPr>
      <w:r>
        <w:rPr>
          <w:rFonts w:ascii="Verdana" w:hAnsi="Verdana" w:eastAsia="仿宋_GB2312"/>
          <w:sz w:val="24"/>
          <w:szCs w:val="24"/>
        </w:rPr>
        <w:t>1.4.1</w:t>
      </w:r>
      <w:r>
        <w:rPr>
          <w:rFonts w:ascii="Verdana" w:eastAsia="仿宋_GB2312"/>
          <w:sz w:val="24"/>
          <w:szCs w:val="24"/>
        </w:rPr>
        <w:t>适用于工程的标准规范包括：</w:t>
      </w:r>
      <w:r>
        <w:rPr>
          <w:rFonts w:ascii="Verdana" w:hAnsi="Verdana" w:eastAsia="仿宋_GB2312"/>
          <w:sz w:val="24"/>
          <w:szCs w:val="24"/>
          <w:u w:val="single"/>
        </w:rPr>
        <w:t></w:t>
      </w:r>
      <w:r>
        <w:rPr>
          <w:rFonts w:ascii="Verdana" w:eastAsia="仿宋_GB2312"/>
          <w:sz w:val="24"/>
          <w:szCs w:val="24"/>
          <w:u w:val="single"/>
        </w:rPr>
        <w:t>适用于工程的国家标准、行业标准、工程所在地的地方性标准，以及相应的规范、规程等</w:t>
      </w:r>
      <w:r>
        <w:rPr>
          <w:rFonts w:ascii="Verdana" w:hAnsi="Verdana" w:eastAsia="仿宋_GB2312"/>
          <w:sz w:val="24"/>
          <w:szCs w:val="24"/>
          <w:u w:val="single"/>
        </w:rPr>
        <w:t></w:t>
      </w:r>
    </w:p>
    <w:p w14:paraId="1BE6C916">
      <w:pPr>
        <w:adjustRightInd w:val="0"/>
        <w:snapToGrid w:val="0"/>
        <w:spacing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rPr>
        <w:t xml:space="preserve">1.4.2 </w:t>
      </w:r>
      <w:r>
        <w:rPr>
          <w:rFonts w:ascii="Verdana" w:eastAsia="仿宋_GB2312"/>
          <w:sz w:val="24"/>
          <w:szCs w:val="24"/>
        </w:rPr>
        <w:t>发包人提供国外标准、规范的名称：</w:t>
      </w:r>
      <w:r>
        <w:rPr>
          <w:rFonts w:ascii="Verdana" w:hAnsi="Verdana" w:eastAsia="仿宋_GB2312"/>
          <w:sz w:val="24"/>
          <w:szCs w:val="24"/>
          <w:u w:val="single"/>
        </w:rPr>
        <w:t xml:space="preserve"> / </w:t>
      </w:r>
    </w:p>
    <w:p w14:paraId="34916C1E">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发包人提供国外标准、规范的份数：</w:t>
      </w:r>
      <w:r>
        <w:rPr>
          <w:rFonts w:ascii="Verdana" w:hAnsi="Verdana" w:eastAsia="仿宋_GB2312"/>
          <w:sz w:val="24"/>
          <w:szCs w:val="24"/>
          <w:u w:val="single"/>
        </w:rPr>
        <w:t xml:space="preserve">   / </w:t>
      </w:r>
      <w:r>
        <w:rPr>
          <w:rFonts w:ascii="Verdana" w:eastAsia="仿宋_GB2312"/>
          <w:sz w:val="24"/>
          <w:szCs w:val="24"/>
        </w:rPr>
        <w:t>；</w:t>
      </w:r>
    </w:p>
    <w:p w14:paraId="55248673">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发包人提供国外标准、规范的名称：</w:t>
      </w:r>
      <w:r>
        <w:rPr>
          <w:rFonts w:ascii="Verdana" w:hAnsi="Verdana" w:eastAsia="仿宋_GB2312"/>
          <w:sz w:val="24"/>
          <w:szCs w:val="24"/>
          <w:u w:val="single"/>
        </w:rPr>
        <w:t xml:space="preserve">  / </w:t>
      </w:r>
      <w:r>
        <w:rPr>
          <w:rFonts w:ascii="Verdana" w:eastAsia="仿宋_GB2312"/>
          <w:sz w:val="24"/>
          <w:szCs w:val="24"/>
        </w:rPr>
        <w:t>。</w:t>
      </w:r>
    </w:p>
    <w:p w14:paraId="1B54AFE5">
      <w:pPr>
        <w:adjustRightInd w:val="0"/>
        <w:snapToGrid w:val="0"/>
        <w:spacing w:line="300" w:lineRule="auto"/>
        <w:ind w:left="596" w:leftChars="284"/>
        <w:rPr>
          <w:rFonts w:ascii="Verdana" w:hAnsi="Verdana" w:eastAsia="仿宋_GB2312"/>
          <w:sz w:val="24"/>
          <w:szCs w:val="24"/>
        </w:rPr>
      </w:pPr>
      <w:r>
        <w:rPr>
          <w:rFonts w:ascii="Verdana" w:hAnsi="Verdana" w:eastAsia="仿宋_GB2312"/>
          <w:sz w:val="24"/>
          <w:szCs w:val="24"/>
        </w:rPr>
        <w:t>1.4.3</w:t>
      </w:r>
      <w:r>
        <w:rPr>
          <w:rFonts w:ascii="Verdana" w:eastAsia="仿宋_GB2312"/>
          <w:sz w:val="24"/>
          <w:szCs w:val="24"/>
        </w:rPr>
        <w:t>发包人对工程的技术标准和功能要求的特殊要求：</w:t>
      </w:r>
      <w:r>
        <w:rPr>
          <w:rFonts w:ascii="Verdana" w:hAnsi="Verdana" w:eastAsia="仿宋_GB2312"/>
          <w:sz w:val="24"/>
          <w:szCs w:val="24"/>
          <w:u w:val="single"/>
        </w:rPr>
        <w:t xml:space="preserve"> / </w:t>
      </w:r>
      <w:r>
        <w:rPr>
          <w:rFonts w:ascii="Verdana" w:eastAsia="仿宋_GB2312"/>
          <w:sz w:val="24"/>
          <w:szCs w:val="24"/>
        </w:rPr>
        <w:t>。</w:t>
      </w:r>
    </w:p>
    <w:p w14:paraId="49F0138C">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1.5 </w:t>
      </w:r>
      <w:r>
        <w:rPr>
          <w:rFonts w:ascii="Verdana" w:eastAsia="黑体"/>
          <w:sz w:val="24"/>
          <w:szCs w:val="24"/>
        </w:rPr>
        <w:t>合同文件的优先顺序</w:t>
      </w:r>
    </w:p>
    <w:p w14:paraId="02400A95">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合同文件组成及优先顺序为：</w:t>
      </w:r>
      <w:r>
        <w:rPr>
          <w:rFonts w:ascii="Verdana" w:eastAsia="仿宋_GB2312"/>
          <w:sz w:val="24"/>
          <w:szCs w:val="24"/>
          <w:u w:val="single"/>
        </w:rPr>
        <w:t>（</w:t>
      </w:r>
      <w:r>
        <w:rPr>
          <w:rFonts w:ascii="Verdana" w:hAnsi="Verdana" w:eastAsia="仿宋_GB2312"/>
          <w:sz w:val="24"/>
          <w:szCs w:val="24"/>
          <w:u w:val="single"/>
        </w:rPr>
        <w:t>1</w:t>
      </w:r>
      <w:r>
        <w:rPr>
          <w:rFonts w:ascii="Verdana" w:eastAsia="仿宋_GB2312"/>
          <w:sz w:val="24"/>
          <w:szCs w:val="24"/>
          <w:u w:val="single"/>
        </w:rPr>
        <w:t>）合同协议书；（</w:t>
      </w:r>
      <w:r>
        <w:rPr>
          <w:rFonts w:ascii="Verdana" w:hAnsi="Verdana" w:eastAsia="仿宋_GB2312"/>
          <w:sz w:val="24"/>
          <w:szCs w:val="24"/>
          <w:u w:val="single"/>
        </w:rPr>
        <w:t>2</w:t>
      </w:r>
      <w:r>
        <w:rPr>
          <w:rFonts w:ascii="Verdana" w:eastAsia="仿宋_GB2312"/>
          <w:sz w:val="24"/>
          <w:szCs w:val="24"/>
          <w:u w:val="single"/>
        </w:rPr>
        <w:t>）中标通知书；（</w:t>
      </w:r>
      <w:r>
        <w:rPr>
          <w:rFonts w:ascii="Verdana" w:hAnsi="Verdana" w:eastAsia="仿宋_GB2312"/>
          <w:sz w:val="24"/>
          <w:szCs w:val="24"/>
          <w:u w:val="single"/>
        </w:rPr>
        <w:t>3</w:t>
      </w:r>
      <w:r>
        <w:rPr>
          <w:rFonts w:ascii="Verdana" w:eastAsia="仿宋_GB2312"/>
          <w:sz w:val="24"/>
          <w:szCs w:val="24"/>
          <w:u w:val="single"/>
        </w:rPr>
        <w:t>）投标函及其附录；（</w:t>
      </w:r>
      <w:r>
        <w:rPr>
          <w:rFonts w:ascii="Verdana" w:hAnsi="Verdana" w:eastAsia="仿宋_GB2312"/>
          <w:sz w:val="24"/>
          <w:szCs w:val="24"/>
          <w:u w:val="single"/>
        </w:rPr>
        <w:t>4</w:t>
      </w:r>
      <w:r>
        <w:rPr>
          <w:rFonts w:ascii="Verdana" w:eastAsia="仿宋_GB2312"/>
          <w:sz w:val="24"/>
          <w:szCs w:val="24"/>
          <w:u w:val="single"/>
        </w:rPr>
        <w:t>）专用合同条款及其附件；（</w:t>
      </w:r>
      <w:r>
        <w:rPr>
          <w:rFonts w:ascii="Verdana" w:hAnsi="Verdana" w:eastAsia="仿宋_GB2312"/>
          <w:sz w:val="24"/>
          <w:szCs w:val="24"/>
          <w:u w:val="single"/>
        </w:rPr>
        <w:t>5</w:t>
      </w:r>
      <w:r>
        <w:rPr>
          <w:rFonts w:ascii="Verdana" w:eastAsia="仿宋_GB2312"/>
          <w:sz w:val="24"/>
          <w:szCs w:val="24"/>
          <w:u w:val="single"/>
        </w:rPr>
        <w:t>）通用合同条款；（</w:t>
      </w:r>
      <w:r>
        <w:rPr>
          <w:rFonts w:ascii="Verdana" w:hAnsi="Verdana" w:eastAsia="仿宋_GB2312"/>
          <w:sz w:val="24"/>
          <w:szCs w:val="24"/>
          <w:u w:val="single"/>
        </w:rPr>
        <w:t>6</w:t>
      </w:r>
      <w:r>
        <w:rPr>
          <w:rFonts w:ascii="Verdana" w:eastAsia="仿宋_GB2312"/>
          <w:sz w:val="24"/>
          <w:szCs w:val="24"/>
          <w:u w:val="single"/>
        </w:rPr>
        <w:t>）技术标准和要求；（</w:t>
      </w:r>
      <w:r>
        <w:rPr>
          <w:rFonts w:ascii="Verdana" w:hAnsi="Verdana" w:eastAsia="仿宋_GB2312"/>
          <w:sz w:val="24"/>
          <w:szCs w:val="24"/>
          <w:u w:val="single"/>
        </w:rPr>
        <w:t>7</w:t>
      </w:r>
      <w:r>
        <w:rPr>
          <w:rFonts w:ascii="Verdana" w:eastAsia="仿宋_GB2312"/>
          <w:sz w:val="24"/>
          <w:szCs w:val="24"/>
          <w:u w:val="single"/>
        </w:rPr>
        <w:t>）工程量清单及招标控制价；（</w:t>
      </w:r>
      <w:r>
        <w:rPr>
          <w:rFonts w:ascii="Verdana" w:hAnsi="Verdana" w:eastAsia="仿宋_GB2312"/>
          <w:sz w:val="24"/>
          <w:szCs w:val="24"/>
          <w:u w:val="single"/>
        </w:rPr>
        <w:t>8</w:t>
      </w:r>
      <w:r>
        <w:rPr>
          <w:rFonts w:ascii="Verdana" w:eastAsia="仿宋_GB2312"/>
          <w:sz w:val="24"/>
          <w:szCs w:val="24"/>
          <w:u w:val="single"/>
        </w:rPr>
        <w:t>）投标人须知；（</w:t>
      </w:r>
      <w:r>
        <w:rPr>
          <w:rFonts w:ascii="Verdana" w:hAnsi="Verdana" w:eastAsia="仿宋_GB2312"/>
          <w:sz w:val="24"/>
          <w:szCs w:val="24"/>
          <w:u w:val="single"/>
        </w:rPr>
        <w:t>9</w:t>
      </w:r>
      <w:r>
        <w:rPr>
          <w:rFonts w:ascii="Verdana" w:eastAsia="仿宋_GB2312"/>
          <w:sz w:val="24"/>
          <w:szCs w:val="24"/>
          <w:u w:val="single"/>
        </w:rPr>
        <w:t>）已标价工程量清单；（</w:t>
      </w:r>
      <w:r>
        <w:rPr>
          <w:rFonts w:ascii="Verdana" w:hAnsi="Verdana" w:eastAsia="仿宋_GB2312"/>
          <w:sz w:val="24"/>
          <w:szCs w:val="24"/>
          <w:u w:val="single"/>
        </w:rPr>
        <w:t>10</w:t>
      </w:r>
      <w:r>
        <w:rPr>
          <w:rFonts w:ascii="Verdana" w:eastAsia="仿宋_GB2312"/>
          <w:sz w:val="24"/>
          <w:szCs w:val="24"/>
          <w:u w:val="single"/>
        </w:rPr>
        <w:t>）其他合同文件。</w:t>
      </w:r>
    </w:p>
    <w:p w14:paraId="3067B263">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1.6 </w:t>
      </w:r>
      <w:r>
        <w:rPr>
          <w:rFonts w:ascii="Verdana" w:eastAsia="黑体"/>
          <w:sz w:val="24"/>
          <w:szCs w:val="24"/>
        </w:rPr>
        <w:t>图纸和承包人文件</w:t>
      </w:r>
      <w:r>
        <w:rPr>
          <w:rFonts w:ascii="Verdana" w:hAnsi="Verdana" w:eastAsia="黑体"/>
          <w:sz w:val="24"/>
          <w:szCs w:val="24"/>
        </w:rPr>
        <w:tab/>
      </w:r>
    </w:p>
    <w:p w14:paraId="299DAA8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1.6.1 </w:t>
      </w:r>
      <w:r>
        <w:rPr>
          <w:rFonts w:ascii="Verdana" w:eastAsia="仿宋_GB2312"/>
          <w:sz w:val="24"/>
          <w:szCs w:val="24"/>
        </w:rPr>
        <w:t>图纸的提供</w:t>
      </w:r>
    </w:p>
    <w:p w14:paraId="587D7E11">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发包人向承包人提供图纸的期限：</w:t>
      </w:r>
      <w:r>
        <w:rPr>
          <w:rFonts w:ascii="Verdana" w:hAnsi="Verdana" w:eastAsia="仿宋_GB2312"/>
          <w:sz w:val="24"/>
          <w:szCs w:val="24"/>
          <w:u w:val="single"/>
        </w:rPr>
        <w:t>         </w:t>
      </w:r>
      <w:r>
        <w:rPr>
          <w:rFonts w:ascii="Verdana" w:eastAsia="仿宋_GB2312"/>
          <w:sz w:val="24"/>
          <w:szCs w:val="24"/>
        </w:rPr>
        <w:t>；</w:t>
      </w:r>
    </w:p>
    <w:p w14:paraId="409F2313">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发包人向承包人提供图纸的数量：</w:t>
      </w:r>
      <w:r>
        <w:rPr>
          <w:rFonts w:ascii="Verdana" w:hAnsi="Verdana" w:eastAsia="仿宋_GB2312"/>
          <w:sz w:val="24"/>
          <w:szCs w:val="24"/>
          <w:u w:val="single"/>
        </w:rPr>
        <w:t>         </w:t>
      </w:r>
      <w:r>
        <w:rPr>
          <w:rFonts w:ascii="Verdana" w:eastAsia="仿宋_GB2312"/>
          <w:sz w:val="24"/>
          <w:szCs w:val="24"/>
        </w:rPr>
        <w:t>；</w:t>
      </w:r>
    </w:p>
    <w:p w14:paraId="145F3368">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发包人向承包人提供图纸的内容：</w:t>
      </w:r>
      <w:r>
        <w:rPr>
          <w:rFonts w:ascii="Verdana" w:hAnsi="Verdana" w:eastAsia="仿宋_GB2312"/>
          <w:sz w:val="24"/>
          <w:szCs w:val="24"/>
          <w:u w:val="single"/>
        </w:rPr>
        <w:t>         </w:t>
      </w:r>
      <w:r>
        <w:rPr>
          <w:rFonts w:ascii="Verdana" w:eastAsia="仿宋_GB2312"/>
          <w:sz w:val="24"/>
          <w:szCs w:val="24"/>
        </w:rPr>
        <w:t>。</w:t>
      </w:r>
    </w:p>
    <w:p w14:paraId="524E10BD">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1.6.4 </w:t>
      </w:r>
      <w:r>
        <w:rPr>
          <w:rFonts w:ascii="Verdana" w:eastAsia="仿宋_GB2312"/>
          <w:sz w:val="24"/>
          <w:szCs w:val="24"/>
        </w:rPr>
        <w:t>承包人文件</w:t>
      </w:r>
    </w:p>
    <w:p w14:paraId="3997C855">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u w:val="single"/>
        </w:rPr>
        <w:t>需要由承包人提供的文件，包括：承包人在开工前</w:t>
      </w:r>
      <w:r>
        <w:rPr>
          <w:rFonts w:ascii="Verdana" w:hAnsi="Verdana" w:eastAsia="仿宋_GB2312"/>
          <w:sz w:val="24"/>
          <w:szCs w:val="24"/>
          <w:u w:val="single"/>
        </w:rPr>
        <w:t xml:space="preserve"> 5 </w:t>
      </w:r>
      <w:r>
        <w:rPr>
          <w:rFonts w:ascii="Verdana" w:eastAsia="仿宋_GB2312"/>
          <w:sz w:val="24"/>
          <w:szCs w:val="24"/>
          <w:u w:val="single"/>
        </w:rPr>
        <w:t>天内，向监理工程师提交</w:t>
      </w:r>
      <w:r>
        <w:rPr>
          <w:rFonts w:ascii="Verdana" w:hAnsi="Verdana" w:eastAsia="仿宋_GB2312"/>
          <w:sz w:val="24"/>
          <w:szCs w:val="24"/>
          <w:u w:val="single"/>
        </w:rPr>
        <w:t xml:space="preserve"> 4 </w:t>
      </w:r>
      <w:r>
        <w:rPr>
          <w:rFonts w:ascii="Verdana" w:eastAsia="仿宋_GB2312"/>
          <w:sz w:val="24"/>
          <w:szCs w:val="24"/>
          <w:u w:val="single"/>
        </w:rPr>
        <w:t>份其格式和内容符合监理工程师规定的施工组织设计；对于关键部位和环节工程，施工前至少</w:t>
      </w:r>
      <w:r>
        <w:rPr>
          <w:rFonts w:ascii="Verdana" w:hAnsi="Verdana" w:eastAsia="仿宋_GB2312"/>
          <w:sz w:val="24"/>
          <w:szCs w:val="24"/>
          <w:u w:val="single"/>
        </w:rPr>
        <w:t xml:space="preserve"> 5 </w:t>
      </w:r>
      <w:r>
        <w:rPr>
          <w:rFonts w:ascii="Verdana" w:eastAsia="仿宋_GB2312"/>
          <w:sz w:val="24"/>
          <w:szCs w:val="24"/>
          <w:u w:val="single"/>
        </w:rPr>
        <w:t>天內应按监理工程师要求提交专项施工方案，以备审查批准；每月</w:t>
      </w:r>
      <w:r>
        <w:rPr>
          <w:rFonts w:ascii="Verdana" w:hAnsi="Verdana" w:eastAsia="仿宋_GB2312"/>
          <w:sz w:val="24"/>
          <w:szCs w:val="24"/>
          <w:u w:val="single"/>
        </w:rPr>
        <w:t xml:space="preserve"> 25 </w:t>
      </w:r>
      <w:r>
        <w:rPr>
          <w:rFonts w:ascii="Verdana" w:eastAsia="仿宋_GB2312"/>
          <w:sz w:val="24"/>
          <w:szCs w:val="24"/>
          <w:u w:val="single"/>
        </w:rPr>
        <w:t>日前应按监理工程师要求提供本月周报及下月计划各</w:t>
      </w:r>
      <w:r>
        <w:rPr>
          <w:rFonts w:ascii="Verdana" w:hAnsi="Verdana" w:eastAsia="仿宋_GB2312"/>
          <w:sz w:val="24"/>
          <w:szCs w:val="24"/>
          <w:u w:val="single"/>
        </w:rPr>
        <w:t xml:space="preserve"> 4 </w:t>
      </w:r>
      <w:r>
        <w:rPr>
          <w:rFonts w:ascii="Verdana" w:eastAsia="仿宋_GB2312"/>
          <w:sz w:val="24"/>
          <w:szCs w:val="24"/>
          <w:u w:val="single"/>
        </w:rPr>
        <w:t>份；每周例会前一天应按监理工程师要求提供本周周报及下周计划各</w:t>
      </w:r>
      <w:r>
        <w:rPr>
          <w:rFonts w:ascii="Verdana" w:hAnsi="Verdana" w:eastAsia="仿宋_GB2312"/>
          <w:sz w:val="24"/>
          <w:szCs w:val="24"/>
          <w:u w:val="single"/>
        </w:rPr>
        <w:t xml:space="preserve"> 4 </w:t>
      </w:r>
      <w:r>
        <w:rPr>
          <w:rFonts w:ascii="Verdana" w:eastAsia="仿宋_GB2312"/>
          <w:sz w:val="24"/>
          <w:szCs w:val="24"/>
          <w:u w:val="single"/>
        </w:rPr>
        <w:t>份；必要时应提供日报和日计划各</w:t>
      </w:r>
      <w:r>
        <w:rPr>
          <w:rFonts w:ascii="Verdana" w:hAnsi="Verdana" w:eastAsia="仿宋_GB2312"/>
          <w:sz w:val="24"/>
          <w:szCs w:val="24"/>
          <w:u w:val="single"/>
        </w:rPr>
        <w:t xml:space="preserve"> 4 </w:t>
      </w:r>
      <w:r>
        <w:rPr>
          <w:rFonts w:ascii="Verdana" w:eastAsia="仿宋_GB2312"/>
          <w:sz w:val="24"/>
          <w:szCs w:val="24"/>
          <w:u w:val="single"/>
        </w:rPr>
        <w:t>份。以上资料由监理人报送发包人</w:t>
      </w:r>
      <w:r>
        <w:rPr>
          <w:rFonts w:ascii="Verdana" w:hAnsi="Verdana" w:eastAsia="仿宋_GB2312"/>
          <w:sz w:val="24"/>
          <w:szCs w:val="24"/>
          <w:u w:val="single"/>
        </w:rPr>
        <w:t xml:space="preserve"> 2 </w:t>
      </w:r>
      <w:r>
        <w:rPr>
          <w:rFonts w:ascii="Verdana" w:eastAsia="仿宋_GB2312"/>
          <w:sz w:val="24"/>
          <w:szCs w:val="24"/>
          <w:u w:val="single"/>
        </w:rPr>
        <w:t>份</w:t>
      </w:r>
      <w:r>
        <w:rPr>
          <w:rFonts w:ascii="Verdana" w:hAnsi="Verdana" w:eastAsia="仿宋_GB2312"/>
          <w:sz w:val="24"/>
          <w:szCs w:val="24"/>
          <w:u w:val="single"/>
        </w:rPr>
        <w:t></w:t>
      </w:r>
    </w:p>
    <w:p w14:paraId="48D84B25">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承包人提供的文件的期限为：</w:t>
      </w:r>
      <w:r>
        <w:rPr>
          <w:rFonts w:ascii="Verdana" w:hAnsi="Verdana" w:eastAsia="仿宋_GB2312"/>
          <w:sz w:val="24"/>
          <w:szCs w:val="24"/>
          <w:u w:val="single"/>
        </w:rPr>
        <w:t></w:t>
      </w:r>
      <w:r>
        <w:rPr>
          <w:rFonts w:ascii="Verdana" w:eastAsia="仿宋_GB2312"/>
          <w:sz w:val="24"/>
          <w:szCs w:val="24"/>
          <w:u w:val="single"/>
        </w:rPr>
        <w:t>开工前</w:t>
      </w:r>
      <w:r>
        <w:rPr>
          <w:rFonts w:ascii="Verdana" w:hAnsi="Verdana" w:eastAsia="仿宋_GB2312"/>
          <w:sz w:val="24"/>
          <w:szCs w:val="24"/>
          <w:u w:val="single"/>
        </w:rPr>
        <w:t xml:space="preserve"> 5 </w:t>
      </w:r>
      <w:r>
        <w:rPr>
          <w:rFonts w:ascii="Verdana" w:eastAsia="仿宋_GB2312"/>
          <w:sz w:val="24"/>
          <w:szCs w:val="24"/>
          <w:u w:val="single"/>
        </w:rPr>
        <w:t>日内</w:t>
      </w:r>
      <w:r>
        <w:rPr>
          <w:rFonts w:ascii="Verdana" w:hAnsi="Verdana" w:eastAsia="仿宋_GB2312"/>
          <w:sz w:val="24"/>
          <w:szCs w:val="24"/>
          <w:u w:val="single"/>
        </w:rPr>
        <w:t></w:t>
      </w:r>
      <w:r>
        <w:rPr>
          <w:rFonts w:ascii="Verdana" w:eastAsia="仿宋_GB2312"/>
          <w:sz w:val="24"/>
          <w:szCs w:val="24"/>
        </w:rPr>
        <w:t>；</w:t>
      </w:r>
    </w:p>
    <w:p w14:paraId="20852863">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承包人提供的文件的数量为：</w:t>
      </w:r>
      <w:r>
        <w:rPr>
          <w:rFonts w:ascii="Verdana" w:hAnsi="Verdana" w:eastAsia="仿宋_GB2312"/>
          <w:sz w:val="24"/>
          <w:szCs w:val="24"/>
          <w:u w:val="single"/>
        </w:rPr>
        <w:t></w:t>
      </w:r>
      <w:r>
        <w:rPr>
          <w:rFonts w:ascii="Verdana" w:eastAsia="仿宋_GB2312"/>
          <w:sz w:val="24"/>
          <w:szCs w:val="24"/>
          <w:u w:val="single"/>
        </w:rPr>
        <w:t>肆份</w:t>
      </w:r>
      <w:r>
        <w:rPr>
          <w:rFonts w:ascii="Verdana" w:hAnsi="Verdana" w:eastAsia="仿宋_GB2312"/>
          <w:sz w:val="24"/>
          <w:szCs w:val="24"/>
          <w:u w:val="single"/>
        </w:rPr>
        <w:t></w:t>
      </w:r>
      <w:r>
        <w:rPr>
          <w:rFonts w:ascii="Verdana" w:eastAsia="仿宋_GB2312"/>
          <w:sz w:val="24"/>
          <w:szCs w:val="24"/>
        </w:rPr>
        <w:t>；</w:t>
      </w:r>
    </w:p>
    <w:p w14:paraId="21DEB5EB">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承包人提供的文件的形式为：</w:t>
      </w:r>
      <w:r>
        <w:rPr>
          <w:rFonts w:ascii="Verdana" w:hAnsi="Verdana" w:eastAsia="仿宋_GB2312"/>
          <w:sz w:val="24"/>
          <w:szCs w:val="24"/>
          <w:u w:val="single"/>
        </w:rPr>
        <w:t></w:t>
      </w:r>
      <w:r>
        <w:rPr>
          <w:rFonts w:ascii="Verdana" w:eastAsia="仿宋_GB2312"/>
          <w:sz w:val="24"/>
          <w:szCs w:val="24"/>
          <w:u w:val="single"/>
        </w:rPr>
        <w:t>书面形式（含电子版）</w:t>
      </w:r>
      <w:r>
        <w:rPr>
          <w:rFonts w:ascii="Verdana" w:hAnsi="Verdana" w:eastAsia="仿宋_GB2312"/>
          <w:sz w:val="24"/>
          <w:szCs w:val="24"/>
          <w:u w:val="single"/>
        </w:rPr>
        <w:t></w:t>
      </w:r>
      <w:r>
        <w:rPr>
          <w:rFonts w:ascii="Verdana" w:eastAsia="仿宋_GB2312"/>
          <w:sz w:val="24"/>
          <w:szCs w:val="24"/>
        </w:rPr>
        <w:t>；</w:t>
      </w:r>
    </w:p>
    <w:p w14:paraId="024BEB19">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发包人审批承包人文件的期限：</w:t>
      </w:r>
      <w:r>
        <w:rPr>
          <w:rFonts w:ascii="Verdana" w:hAnsi="Verdana" w:eastAsia="仿宋_GB2312"/>
          <w:sz w:val="24"/>
          <w:szCs w:val="24"/>
          <w:u w:val="single"/>
        </w:rPr>
        <w:t></w:t>
      </w:r>
      <w:r>
        <w:rPr>
          <w:rFonts w:ascii="Verdana" w:eastAsia="仿宋_GB2312"/>
          <w:sz w:val="24"/>
          <w:szCs w:val="24"/>
          <w:u w:val="single"/>
        </w:rPr>
        <w:t>收到书面文件</w:t>
      </w:r>
      <w:r>
        <w:rPr>
          <w:rFonts w:ascii="Verdana" w:hAnsi="Verdana" w:eastAsia="仿宋_GB2312"/>
          <w:sz w:val="24"/>
          <w:szCs w:val="24"/>
          <w:u w:val="single"/>
        </w:rPr>
        <w:t xml:space="preserve"> 7 </w:t>
      </w:r>
      <w:r>
        <w:rPr>
          <w:rFonts w:ascii="Verdana" w:eastAsia="仿宋_GB2312"/>
          <w:sz w:val="24"/>
          <w:szCs w:val="24"/>
          <w:u w:val="single"/>
        </w:rPr>
        <w:t>日内</w:t>
      </w:r>
      <w:r>
        <w:rPr>
          <w:rFonts w:ascii="Verdana" w:hAnsi="Verdana" w:eastAsia="仿宋_GB2312"/>
          <w:sz w:val="24"/>
          <w:szCs w:val="24"/>
          <w:u w:val="single"/>
        </w:rPr>
        <w:t></w:t>
      </w:r>
      <w:r>
        <w:rPr>
          <w:rFonts w:ascii="Verdana" w:eastAsia="仿宋_GB2312"/>
          <w:sz w:val="24"/>
          <w:szCs w:val="24"/>
        </w:rPr>
        <w:t>。</w:t>
      </w:r>
    </w:p>
    <w:p w14:paraId="18FD831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1.6.5 </w:t>
      </w:r>
      <w:r>
        <w:rPr>
          <w:rFonts w:ascii="Verdana" w:eastAsia="仿宋_GB2312"/>
          <w:sz w:val="24"/>
          <w:szCs w:val="24"/>
        </w:rPr>
        <w:t>现场图纸准备</w:t>
      </w:r>
    </w:p>
    <w:p w14:paraId="16D24EFE">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关于现场图纸准备的约定：</w:t>
      </w:r>
      <w:r>
        <w:rPr>
          <w:rFonts w:ascii="Verdana" w:hAnsi="Verdana" w:eastAsia="仿宋_GB2312"/>
          <w:sz w:val="24"/>
          <w:szCs w:val="24"/>
          <w:u w:val="single"/>
        </w:rPr>
        <w:t></w:t>
      </w:r>
      <w:r>
        <w:rPr>
          <w:rFonts w:ascii="Verdana" w:eastAsia="仿宋_GB2312"/>
          <w:sz w:val="24"/>
          <w:szCs w:val="24"/>
          <w:u w:val="single"/>
        </w:rPr>
        <w:t>承包人应在施工现场保留一套完整图纸，供监理工程师及有关人员进行工程检查时使用。承包人对原设计的修改必须得到发包人、原设计单位和监理工程师的同意，如擅自修改，须承担违约责任并对后果负责</w:t>
      </w:r>
      <w:r>
        <w:rPr>
          <w:rFonts w:ascii="Verdana" w:hAnsi="Verdana" w:eastAsia="仿宋_GB2312"/>
          <w:sz w:val="24"/>
          <w:szCs w:val="24"/>
          <w:u w:val="single"/>
        </w:rPr>
        <w:t></w:t>
      </w:r>
      <w:r>
        <w:rPr>
          <w:rFonts w:ascii="Verdana" w:eastAsia="仿宋_GB2312"/>
          <w:sz w:val="24"/>
          <w:szCs w:val="24"/>
        </w:rPr>
        <w:t>。</w:t>
      </w:r>
    </w:p>
    <w:p w14:paraId="5B5EDFFC">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1.7 </w:t>
      </w:r>
      <w:r>
        <w:rPr>
          <w:rFonts w:ascii="Verdana" w:eastAsia="黑体"/>
          <w:sz w:val="24"/>
          <w:szCs w:val="24"/>
        </w:rPr>
        <w:t>联络</w:t>
      </w:r>
    </w:p>
    <w:p w14:paraId="48EABD6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1.7.1</w:t>
      </w:r>
      <w:r>
        <w:rPr>
          <w:rFonts w:ascii="Verdana" w:eastAsia="仿宋_GB2312"/>
          <w:sz w:val="24"/>
          <w:szCs w:val="24"/>
        </w:rPr>
        <w:t>发包人和承包人应当在</w:t>
      </w:r>
      <w:r>
        <w:rPr>
          <w:rFonts w:ascii="Verdana" w:hAnsi="Verdana" w:eastAsia="仿宋_GB2312"/>
          <w:sz w:val="24"/>
          <w:szCs w:val="24"/>
          <w:u w:val="single"/>
        </w:rPr>
        <w:t>3</w:t>
      </w:r>
      <w:r>
        <w:rPr>
          <w:rFonts w:ascii="Verdana" w:eastAsia="仿宋_GB2312"/>
          <w:sz w:val="24"/>
          <w:szCs w:val="24"/>
        </w:rPr>
        <w:t>天内将与合同有关的通知、批准、证明、证书、指示、指令、要求、请求、同意、意见、确定和决定等书面函件送达对方当事人。</w:t>
      </w:r>
    </w:p>
    <w:p w14:paraId="782E474B">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1.7.2 </w:t>
      </w:r>
      <w:r>
        <w:rPr>
          <w:rFonts w:ascii="Verdana" w:eastAsia="仿宋_GB2312"/>
          <w:sz w:val="24"/>
          <w:szCs w:val="24"/>
        </w:rPr>
        <w:t>发包人接收文件的地点：</w:t>
      </w:r>
      <w:r>
        <w:rPr>
          <w:rFonts w:ascii="Verdana" w:hAnsi="Verdana" w:eastAsia="仿宋_GB2312"/>
          <w:sz w:val="24"/>
          <w:szCs w:val="24"/>
          <w:u w:val="single"/>
        </w:rPr>
        <w:t> </w:t>
      </w:r>
      <w:r>
        <w:rPr>
          <w:rFonts w:ascii="Verdana" w:eastAsia="仿宋_GB2312"/>
          <w:sz w:val="24"/>
          <w:szCs w:val="24"/>
        </w:rPr>
        <w:t>；</w:t>
      </w:r>
    </w:p>
    <w:p w14:paraId="7E1A2E2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发包人指定的接收人为：</w:t>
      </w:r>
      <w:r>
        <w:rPr>
          <w:rFonts w:ascii="Verdana" w:hAnsi="Verdana" w:eastAsia="仿宋_GB2312"/>
          <w:sz w:val="24"/>
          <w:szCs w:val="24"/>
          <w:u w:val="single"/>
        </w:rPr>
        <w:t> </w:t>
      </w:r>
      <w:r>
        <w:rPr>
          <w:rFonts w:hint="eastAsia" w:ascii="Verdana" w:hAnsi="Verdana" w:eastAsia="仿宋_GB2312"/>
          <w:sz w:val="24"/>
          <w:szCs w:val="24"/>
          <w:u w:val="single"/>
        </w:rPr>
        <w:t xml:space="preserve">  </w:t>
      </w:r>
      <w:r>
        <w:rPr>
          <w:rFonts w:ascii="Verdana" w:hAnsi="Verdana" w:eastAsia="仿宋_GB2312"/>
          <w:sz w:val="24"/>
          <w:szCs w:val="24"/>
          <w:u w:val="single"/>
        </w:rPr>
        <w:t></w:t>
      </w:r>
      <w:r>
        <w:rPr>
          <w:rFonts w:ascii="Verdana" w:eastAsia="仿宋_GB2312"/>
          <w:sz w:val="24"/>
          <w:szCs w:val="24"/>
        </w:rPr>
        <w:t>。</w:t>
      </w:r>
    </w:p>
    <w:p w14:paraId="345F34E6">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承包人接收文件的地点：</w:t>
      </w:r>
      <w:r>
        <w:rPr>
          <w:rFonts w:ascii="Verdana" w:hAnsi="Verdana" w:eastAsia="仿宋_GB2312"/>
          <w:sz w:val="24"/>
          <w:szCs w:val="24"/>
          <w:u w:val="single"/>
        </w:rPr>
        <w:t> </w:t>
      </w:r>
      <w:r>
        <w:rPr>
          <w:rFonts w:ascii="Verdana" w:eastAsia="仿宋_GB2312"/>
          <w:sz w:val="24"/>
          <w:szCs w:val="24"/>
        </w:rPr>
        <w:t>；</w:t>
      </w:r>
    </w:p>
    <w:p w14:paraId="359ED733">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承包人指定的接收人为：</w:t>
      </w:r>
      <w:r>
        <w:rPr>
          <w:rFonts w:ascii="Verdana" w:hAnsi="Verdana" w:eastAsia="仿宋_GB2312"/>
          <w:sz w:val="24"/>
          <w:szCs w:val="24"/>
          <w:u w:val="single"/>
        </w:rPr>
        <w:t> </w:t>
      </w:r>
      <w:r>
        <w:rPr>
          <w:rFonts w:ascii="Verdana" w:eastAsia="仿宋_GB2312"/>
          <w:sz w:val="24"/>
          <w:szCs w:val="24"/>
        </w:rPr>
        <w:t>。</w:t>
      </w:r>
    </w:p>
    <w:p w14:paraId="7A2B897E">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监理人接收文件的地点：</w:t>
      </w:r>
      <w:r>
        <w:rPr>
          <w:rFonts w:ascii="Verdana" w:hAnsi="Verdana" w:eastAsia="仿宋_GB2312"/>
          <w:sz w:val="24"/>
          <w:szCs w:val="24"/>
          <w:u w:val="single"/>
        </w:rPr>
        <w:t> </w:t>
      </w:r>
      <w:r>
        <w:rPr>
          <w:rFonts w:ascii="Verdana" w:eastAsia="仿宋_GB2312"/>
          <w:sz w:val="24"/>
          <w:szCs w:val="24"/>
        </w:rPr>
        <w:t>；</w:t>
      </w:r>
    </w:p>
    <w:p w14:paraId="78C2FEAA">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监理人指定的接收人为：</w:t>
      </w:r>
      <w:r>
        <w:rPr>
          <w:rFonts w:ascii="Verdana" w:hAnsi="Verdana" w:eastAsia="仿宋_GB2312"/>
          <w:sz w:val="24"/>
          <w:szCs w:val="24"/>
          <w:u w:val="single"/>
        </w:rPr>
        <w:t> </w:t>
      </w:r>
      <w:r>
        <w:rPr>
          <w:rFonts w:ascii="Verdana" w:eastAsia="仿宋_GB2312"/>
          <w:sz w:val="24"/>
          <w:szCs w:val="24"/>
        </w:rPr>
        <w:t>。</w:t>
      </w:r>
    </w:p>
    <w:p w14:paraId="132B5E4D">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1.10 </w:t>
      </w:r>
      <w:r>
        <w:rPr>
          <w:rFonts w:ascii="Verdana" w:eastAsia="黑体"/>
          <w:sz w:val="24"/>
          <w:szCs w:val="24"/>
        </w:rPr>
        <w:t>交通运输</w:t>
      </w:r>
    </w:p>
    <w:p w14:paraId="3403D230">
      <w:pPr>
        <w:adjustRightInd w:val="0"/>
        <w:snapToGrid w:val="0"/>
        <w:spacing w:line="300" w:lineRule="auto"/>
        <w:ind w:firstLine="480" w:firstLineChars="200"/>
        <w:outlineLvl w:val="0"/>
        <w:rPr>
          <w:rFonts w:ascii="Verdana" w:hAnsi="Verdana" w:eastAsia="仿宋_GB2312"/>
          <w:sz w:val="24"/>
          <w:szCs w:val="24"/>
        </w:rPr>
      </w:pPr>
      <w:r>
        <w:rPr>
          <w:rFonts w:ascii="Verdana" w:hAnsi="Verdana" w:eastAsia="仿宋_GB2312"/>
          <w:sz w:val="24"/>
          <w:szCs w:val="24"/>
        </w:rPr>
        <w:t>1</w:t>
      </w:r>
      <w:bookmarkStart w:id="43" w:name="_Toc300934943"/>
      <w:bookmarkStart w:id="44" w:name="_Toc303539100"/>
      <w:bookmarkStart w:id="45" w:name="_Toc304295521"/>
      <w:bookmarkStart w:id="46" w:name="_Toc318581155"/>
      <w:bookmarkStart w:id="47" w:name="_Toc312677986"/>
      <w:r>
        <w:rPr>
          <w:rFonts w:ascii="Verdana" w:hAnsi="Verdana" w:eastAsia="仿宋_GB2312"/>
          <w:sz w:val="24"/>
          <w:szCs w:val="24"/>
        </w:rPr>
        <w:t xml:space="preserve">.10.1 </w:t>
      </w:r>
      <w:r>
        <w:rPr>
          <w:rFonts w:ascii="Verdana" w:eastAsia="仿宋_GB2312"/>
          <w:sz w:val="24"/>
          <w:szCs w:val="24"/>
        </w:rPr>
        <w:t>出入现场的权利</w:t>
      </w:r>
    </w:p>
    <w:p w14:paraId="27A9A060">
      <w:pPr>
        <w:adjustRightInd w:val="0"/>
        <w:snapToGrid w:val="0"/>
        <w:spacing w:line="300" w:lineRule="auto"/>
        <w:ind w:left="596" w:leftChars="284"/>
        <w:rPr>
          <w:rFonts w:ascii="Verdana" w:hAnsi="Verdana" w:eastAsia="仿宋_GB2312"/>
          <w:sz w:val="24"/>
          <w:szCs w:val="24"/>
          <w:u w:val="single"/>
        </w:rPr>
      </w:pPr>
      <w:r>
        <w:rPr>
          <w:rFonts w:ascii="Verdana" w:eastAsia="仿宋_GB2312"/>
          <w:sz w:val="24"/>
          <w:szCs w:val="24"/>
        </w:rPr>
        <w:t>关于出入现场的权利的约定：</w:t>
      </w:r>
      <w:r>
        <w:rPr>
          <w:rFonts w:ascii="Verdana" w:eastAsia="仿宋_GB2312"/>
          <w:sz w:val="24"/>
          <w:szCs w:val="24"/>
          <w:u w:val="single"/>
        </w:rPr>
        <w:t>承包人按发包人要求负责取得出入施工现场所需的批准手续和全部权利</w:t>
      </w:r>
      <w:r>
        <w:rPr>
          <w:rFonts w:ascii="Verdana" w:eastAsia="仿宋_GB2312"/>
          <w:sz w:val="24"/>
          <w:szCs w:val="24"/>
        </w:rPr>
        <w:t>。</w:t>
      </w:r>
    </w:p>
    <w:bookmarkEnd w:id="43"/>
    <w:bookmarkEnd w:id="44"/>
    <w:bookmarkEnd w:id="45"/>
    <w:bookmarkEnd w:id="46"/>
    <w:bookmarkEnd w:id="47"/>
    <w:p w14:paraId="77F795FF">
      <w:pPr>
        <w:adjustRightInd w:val="0"/>
        <w:snapToGrid w:val="0"/>
        <w:spacing w:line="300" w:lineRule="auto"/>
        <w:ind w:firstLine="480" w:firstLineChars="200"/>
        <w:outlineLvl w:val="0"/>
        <w:rPr>
          <w:rFonts w:ascii="Verdana" w:hAnsi="Verdana" w:eastAsia="仿宋_GB2312"/>
          <w:sz w:val="24"/>
          <w:szCs w:val="24"/>
        </w:rPr>
      </w:pPr>
      <w:r>
        <w:rPr>
          <w:rFonts w:ascii="Verdana" w:hAnsi="Verdana" w:eastAsia="仿宋_GB2312"/>
          <w:sz w:val="24"/>
          <w:szCs w:val="24"/>
        </w:rPr>
        <w:t>1</w:t>
      </w:r>
      <w:bookmarkStart w:id="48" w:name="_Toc312677987"/>
      <w:bookmarkStart w:id="49" w:name="_Toc304295522"/>
      <w:bookmarkStart w:id="50" w:name="_Toc300934944"/>
      <w:bookmarkStart w:id="51" w:name="_Toc318581156"/>
      <w:bookmarkStart w:id="52" w:name="_Toc303539101"/>
      <w:r>
        <w:rPr>
          <w:rFonts w:ascii="Verdana" w:hAnsi="Verdana" w:eastAsia="仿宋_GB2312"/>
          <w:sz w:val="24"/>
          <w:szCs w:val="24"/>
        </w:rPr>
        <w:t xml:space="preserve">.10.3 </w:t>
      </w:r>
      <w:r>
        <w:rPr>
          <w:rFonts w:ascii="Verdana" w:eastAsia="仿宋_GB2312"/>
          <w:sz w:val="24"/>
          <w:szCs w:val="24"/>
        </w:rPr>
        <w:t>场内交通</w:t>
      </w:r>
    </w:p>
    <w:p w14:paraId="10F04003">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关于场外交通和场内交通的边界的约定：</w:t>
      </w:r>
      <w:r>
        <w:rPr>
          <w:rFonts w:ascii="Verdana" w:hAnsi="Verdana" w:eastAsia="仿宋_GB2312"/>
          <w:sz w:val="24"/>
          <w:szCs w:val="24"/>
          <w:u w:val="single"/>
        </w:rPr>
        <w:t>     </w:t>
      </w:r>
      <w:r>
        <w:rPr>
          <w:rFonts w:ascii="Verdana" w:eastAsia="仿宋_GB2312"/>
          <w:sz w:val="24"/>
          <w:szCs w:val="24"/>
        </w:rPr>
        <w:t>。</w:t>
      </w:r>
    </w:p>
    <w:p w14:paraId="6C89A777">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关于发包人向承包人免费提供满足工程施工需要的场内道路和交通设施的约定：</w:t>
      </w:r>
      <w:r>
        <w:rPr>
          <w:rFonts w:ascii="Verdana" w:eastAsia="仿宋_GB2312"/>
          <w:sz w:val="24"/>
          <w:szCs w:val="24"/>
          <w:u w:val="single"/>
        </w:rPr>
        <w:t>发包人提供施工现场现有状况供承包人使用，如不满足施工场内运输的需要，由承包人自行解决，费用由承包人负担</w:t>
      </w:r>
      <w:r>
        <w:rPr>
          <w:rFonts w:ascii="Verdana" w:eastAsia="仿宋_GB2312"/>
          <w:sz w:val="24"/>
          <w:szCs w:val="24"/>
        </w:rPr>
        <w:t>。</w:t>
      </w:r>
      <w:bookmarkEnd w:id="48"/>
      <w:bookmarkEnd w:id="49"/>
      <w:bookmarkEnd w:id="50"/>
      <w:bookmarkEnd w:id="51"/>
      <w:bookmarkEnd w:id="52"/>
      <w:bookmarkStart w:id="53" w:name="_Toc318581157"/>
    </w:p>
    <w:p w14:paraId="23903520">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1.10.4</w:t>
      </w:r>
      <w:r>
        <w:rPr>
          <w:rFonts w:ascii="Verdana" w:eastAsia="仿宋_GB2312"/>
          <w:sz w:val="24"/>
          <w:szCs w:val="24"/>
        </w:rPr>
        <w:t>超大件和超重件的运输</w:t>
      </w:r>
    </w:p>
    <w:p w14:paraId="5CA12650">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运输超大件或超重件所需的道路和桥梁临时加固改造费用和其他有关费用由</w:t>
      </w:r>
      <w:r>
        <w:rPr>
          <w:rFonts w:ascii="Verdana" w:eastAsia="仿宋_GB2312"/>
          <w:sz w:val="24"/>
          <w:szCs w:val="24"/>
          <w:u w:val="single"/>
        </w:rPr>
        <w:t>承包人</w:t>
      </w:r>
      <w:r>
        <w:rPr>
          <w:rFonts w:ascii="Verdana" w:eastAsia="仿宋_GB2312"/>
          <w:sz w:val="24"/>
          <w:szCs w:val="24"/>
        </w:rPr>
        <w:t>承担。</w:t>
      </w:r>
    </w:p>
    <w:bookmarkEnd w:id="53"/>
    <w:p w14:paraId="62887214">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1.11 </w:t>
      </w:r>
      <w:r>
        <w:rPr>
          <w:rFonts w:ascii="Verdana" w:eastAsia="黑体"/>
          <w:sz w:val="24"/>
          <w:szCs w:val="24"/>
        </w:rPr>
        <w:t>知识产权</w:t>
      </w:r>
    </w:p>
    <w:p w14:paraId="74A2AB6C">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1.11.1</w:t>
      </w:r>
      <w:r>
        <w:rPr>
          <w:rFonts w:ascii="Verdana" w:eastAsia="仿宋_GB2312"/>
          <w:sz w:val="24"/>
          <w:szCs w:val="24"/>
        </w:rPr>
        <w:t>关于发包人提供给承包人的图纸、发包人为实施工程自行编制或委托编制的技术规范以及反映发包人关于合同要求或其他类似性质的文件的著作权的归属：</w:t>
      </w:r>
      <w:r>
        <w:rPr>
          <w:rFonts w:ascii="Verdana" w:hAnsi="Verdana" w:eastAsia="仿宋_GB2312"/>
          <w:sz w:val="24"/>
          <w:szCs w:val="24"/>
          <w:u w:val="single"/>
        </w:rPr>
        <w:t></w:t>
      </w:r>
      <w:r>
        <w:rPr>
          <w:rFonts w:ascii="Verdana" w:eastAsia="仿宋_GB2312"/>
          <w:sz w:val="24"/>
          <w:szCs w:val="24"/>
          <w:u w:val="single"/>
        </w:rPr>
        <w:t>发包人</w:t>
      </w:r>
      <w:r>
        <w:rPr>
          <w:rFonts w:ascii="Verdana" w:hAnsi="Verdana" w:eastAsia="仿宋_GB2312"/>
          <w:sz w:val="24"/>
          <w:szCs w:val="24"/>
          <w:u w:val="single"/>
        </w:rPr>
        <w:t></w:t>
      </w:r>
      <w:r>
        <w:rPr>
          <w:rFonts w:ascii="Verdana" w:eastAsia="仿宋_GB2312"/>
          <w:sz w:val="24"/>
          <w:szCs w:val="24"/>
          <w:u w:val="single"/>
        </w:rPr>
        <w:t>。</w:t>
      </w:r>
    </w:p>
    <w:p w14:paraId="0FD7D639">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关于发包人提供的上述文件的使用限制的要求：</w:t>
      </w:r>
      <w:r>
        <w:rPr>
          <w:rFonts w:ascii="Verdana" w:eastAsia="仿宋_GB2312"/>
          <w:sz w:val="24"/>
          <w:szCs w:val="24"/>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ascii="Verdana" w:eastAsia="仿宋_GB2312"/>
          <w:sz w:val="24"/>
          <w:szCs w:val="24"/>
        </w:rPr>
        <w:t>。</w:t>
      </w:r>
    </w:p>
    <w:p w14:paraId="09F60677">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 xml:space="preserve">1.11.2 </w:t>
      </w:r>
      <w:r>
        <w:rPr>
          <w:rFonts w:ascii="Verdana" w:eastAsia="仿宋_GB2312"/>
          <w:sz w:val="24"/>
          <w:szCs w:val="24"/>
        </w:rPr>
        <w:t>关于承包人为实施工程所编制文件的著作权的归属：</w:t>
      </w:r>
      <w:r>
        <w:rPr>
          <w:rFonts w:ascii="Verdana" w:eastAsia="仿宋_GB2312"/>
          <w:sz w:val="24"/>
          <w:szCs w:val="24"/>
          <w:u w:val="single"/>
        </w:rPr>
        <w:t>除署名权以外的著作权属于发包人。</w:t>
      </w:r>
    </w:p>
    <w:p w14:paraId="7A10B4D3">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关于承包人提供的上述文件的使用限制的要求：</w:t>
      </w:r>
      <w:r>
        <w:rPr>
          <w:rFonts w:ascii="Verdana" w:eastAsia="仿宋_GB2312"/>
          <w:sz w:val="24"/>
          <w:szCs w:val="24"/>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ascii="Verdana" w:eastAsia="仿宋_GB2312"/>
          <w:sz w:val="24"/>
          <w:szCs w:val="24"/>
        </w:rPr>
        <w:t>。</w:t>
      </w:r>
    </w:p>
    <w:p w14:paraId="6E220421">
      <w:pPr>
        <w:adjustRightInd w:val="0"/>
        <w:snapToGrid w:val="0"/>
        <w:spacing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rPr>
        <w:t xml:space="preserve">1.11.4 </w:t>
      </w:r>
      <w:r>
        <w:rPr>
          <w:rFonts w:ascii="Verdana" w:eastAsia="仿宋_GB2312"/>
          <w:sz w:val="24"/>
          <w:szCs w:val="24"/>
        </w:rPr>
        <w:t>承包人在施工过程中所采用的专利、专有技术、技术秘密的使用费的承担方式：</w:t>
      </w:r>
      <w:r>
        <w:rPr>
          <w:rFonts w:ascii="Verdana" w:hAnsi="Verdana" w:eastAsia="仿宋_GB2312"/>
          <w:sz w:val="24"/>
          <w:szCs w:val="24"/>
          <w:u w:val="single"/>
        </w:rPr>
        <w:t></w:t>
      </w:r>
      <w:r>
        <w:rPr>
          <w:rFonts w:ascii="Verdana" w:eastAsia="仿宋_GB2312"/>
          <w:sz w:val="24"/>
          <w:szCs w:val="24"/>
          <w:u w:val="single"/>
        </w:rPr>
        <w:t>已包含在签约合同价中，结算时不予调整</w:t>
      </w:r>
      <w:r>
        <w:rPr>
          <w:rFonts w:ascii="Verdana" w:eastAsia="仿宋_GB2312"/>
          <w:sz w:val="24"/>
          <w:szCs w:val="24"/>
        </w:rPr>
        <w:t>。</w:t>
      </w:r>
    </w:p>
    <w:p w14:paraId="2162EDA1">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1.13</w:t>
      </w:r>
      <w:r>
        <w:rPr>
          <w:rFonts w:ascii="Verdana" w:eastAsia="黑体"/>
          <w:sz w:val="24"/>
          <w:szCs w:val="24"/>
        </w:rPr>
        <w:t>工程量清单错误的修正</w:t>
      </w:r>
    </w:p>
    <w:p w14:paraId="7CBCF89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出现工程量清单错误时，是否调整合同价格：</w:t>
      </w:r>
      <w:r>
        <w:rPr>
          <w:rFonts w:ascii="Verdana" w:eastAsia="仿宋_GB2312"/>
          <w:sz w:val="24"/>
          <w:szCs w:val="24"/>
          <w:u w:val="single"/>
        </w:rPr>
        <w:t>工程量清单存在缺项、漏项的，调整合同价格</w:t>
      </w:r>
      <w:r>
        <w:rPr>
          <w:rFonts w:ascii="Verdana" w:eastAsia="仿宋_GB2312"/>
          <w:sz w:val="24"/>
          <w:szCs w:val="24"/>
        </w:rPr>
        <w:t>。</w:t>
      </w:r>
    </w:p>
    <w:p w14:paraId="54BF3D8B">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允许调整合同价格的工程量偏差范围：</w:t>
      </w:r>
      <w:r>
        <w:rPr>
          <w:rFonts w:ascii="Verdana" w:hAnsi="Verdana" w:eastAsia="仿宋_GB2312"/>
          <w:sz w:val="24"/>
          <w:szCs w:val="24"/>
          <w:u w:val="single"/>
        </w:rPr>
        <w:t>±10%</w:t>
      </w:r>
      <w:r>
        <w:rPr>
          <w:rFonts w:hint="eastAsia" w:ascii="Verdana" w:hAnsi="Verdana" w:eastAsia="仿宋_GB2312"/>
          <w:sz w:val="24"/>
          <w:szCs w:val="24"/>
          <w:u w:val="single"/>
        </w:rPr>
        <w:t xml:space="preserve"> </w:t>
      </w:r>
      <w:r>
        <w:rPr>
          <w:rFonts w:ascii="Verdana" w:eastAsia="仿宋_GB2312"/>
          <w:sz w:val="24"/>
          <w:szCs w:val="24"/>
        </w:rPr>
        <w:t>。</w:t>
      </w:r>
    </w:p>
    <w:p w14:paraId="7613A37D">
      <w:pPr>
        <w:pStyle w:val="5"/>
        <w:adjustRightInd w:val="0"/>
        <w:snapToGrid w:val="0"/>
        <w:spacing w:before="120" w:after="120" w:line="300" w:lineRule="auto"/>
        <w:jc w:val="left"/>
        <w:rPr>
          <w:rFonts w:ascii="Verdana" w:hAnsi="Verdana"/>
          <w:b/>
          <w:sz w:val="24"/>
          <w:szCs w:val="24"/>
        </w:rPr>
      </w:pPr>
      <w:bookmarkStart w:id="54" w:name="_Toc351203634"/>
      <w:r>
        <w:rPr>
          <w:rFonts w:ascii="Verdana" w:hAnsi="Verdana"/>
          <w:sz w:val="24"/>
          <w:szCs w:val="24"/>
        </w:rPr>
        <w:t>2</w:t>
      </w:r>
      <w:bookmarkStart w:id="55" w:name="_Toc296890985"/>
      <w:bookmarkStart w:id="56" w:name="_Toc296503157"/>
      <w:bookmarkStart w:id="57" w:name="_Toc297048343"/>
      <w:bookmarkStart w:id="58" w:name="_Toc296944496"/>
      <w:bookmarkStart w:id="59" w:name="_Toc296346658"/>
      <w:bookmarkStart w:id="60" w:name="_Toc297120457"/>
      <w:bookmarkStart w:id="61" w:name="_Toc296347156"/>
      <w:bookmarkStart w:id="62" w:name="_Toc296891197"/>
      <w:bookmarkStart w:id="63" w:name="_Toc292559362"/>
      <w:bookmarkStart w:id="64" w:name="_Toc292559867"/>
      <w:r>
        <w:rPr>
          <w:rFonts w:ascii="Verdana" w:hAnsi="Verdana"/>
          <w:sz w:val="24"/>
          <w:szCs w:val="24"/>
        </w:rPr>
        <w:t xml:space="preserve">. </w:t>
      </w:r>
      <w:r>
        <w:rPr>
          <w:rFonts w:ascii="Verdana"/>
          <w:sz w:val="24"/>
          <w:szCs w:val="24"/>
        </w:rPr>
        <w:t>发包人</w:t>
      </w:r>
      <w:bookmarkEnd w:id="54"/>
    </w:p>
    <w:bookmarkEnd w:id="55"/>
    <w:bookmarkEnd w:id="56"/>
    <w:bookmarkEnd w:id="57"/>
    <w:bookmarkEnd w:id="58"/>
    <w:bookmarkEnd w:id="59"/>
    <w:bookmarkEnd w:id="60"/>
    <w:bookmarkEnd w:id="61"/>
    <w:bookmarkEnd w:id="62"/>
    <w:bookmarkEnd w:id="63"/>
    <w:bookmarkEnd w:id="64"/>
    <w:p w14:paraId="7495D519">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2.2 </w:t>
      </w:r>
      <w:r>
        <w:rPr>
          <w:rFonts w:ascii="Verdana" w:eastAsia="黑体"/>
          <w:sz w:val="24"/>
          <w:szCs w:val="24"/>
        </w:rPr>
        <w:t>发包人代表</w:t>
      </w:r>
    </w:p>
    <w:p w14:paraId="49C4CCB1">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发包人代表：</w:t>
      </w:r>
    </w:p>
    <w:p w14:paraId="132ACD7B">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姓名：</w:t>
      </w:r>
      <w:r>
        <w:rPr>
          <w:rFonts w:ascii="Verdana" w:hAnsi="Verdana" w:eastAsia="仿宋_GB2312"/>
          <w:sz w:val="24"/>
          <w:szCs w:val="24"/>
          <w:u w:val="single"/>
        </w:rPr>
        <w:t>   </w:t>
      </w:r>
      <w:r>
        <w:rPr>
          <w:rFonts w:ascii="Verdana" w:eastAsia="仿宋_GB2312"/>
          <w:sz w:val="24"/>
          <w:szCs w:val="24"/>
        </w:rPr>
        <w:t>；</w:t>
      </w:r>
    </w:p>
    <w:p w14:paraId="40117B7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身份证号：</w:t>
      </w:r>
      <w:r>
        <w:rPr>
          <w:rFonts w:ascii="Verdana" w:hAnsi="Verdana" w:eastAsia="仿宋_GB2312"/>
          <w:sz w:val="24"/>
          <w:szCs w:val="24"/>
          <w:u w:val="single"/>
        </w:rPr>
        <w:t>    </w:t>
      </w:r>
      <w:r>
        <w:rPr>
          <w:rFonts w:ascii="Verdana" w:eastAsia="仿宋_GB2312"/>
          <w:sz w:val="24"/>
          <w:szCs w:val="24"/>
        </w:rPr>
        <w:t>；</w:t>
      </w:r>
    </w:p>
    <w:p w14:paraId="4FE3AEE8">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职务：</w:t>
      </w:r>
      <w:r>
        <w:rPr>
          <w:rFonts w:ascii="Verdana" w:hAnsi="Verdana" w:eastAsia="仿宋_GB2312"/>
          <w:sz w:val="24"/>
          <w:szCs w:val="24"/>
          <w:u w:val="single"/>
        </w:rPr>
        <w:t>    </w:t>
      </w:r>
      <w:r>
        <w:rPr>
          <w:rFonts w:ascii="Verdana" w:eastAsia="仿宋_GB2312"/>
          <w:sz w:val="24"/>
          <w:szCs w:val="24"/>
        </w:rPr>
        <w:t>；</w:t>
      </w:r>
    </w:p>
    <w:p w14:paraId="18596AC8">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联系电话：</w:t>
      </w:r>
      <w:r>
        <w:rPr>
          <w:rFonts w:ascii="Verdana" w:hAnsi="Verdana" w:eastAsia="仿宋_GB2312"/>
          <w:sz w:val="24"/>
          <w:szCs w:val="24"/>
          <w:u w:val="single"/>
        </w:rPr>
        <w:t>    </w:t>
      </w:r>
      <w:r>
        <w:rPr>
          <w:rFonts w:ascii="Verdana" w:eastAsia="仿宋_GB2312"/>
          <w:sz w:val="24"/>
          <w:szCs w:val="24"/>
        </w:rPr>
        <w:t>；</w:t>
      </w:r>
    </w:p>
    <w:p w14:paraId="60F8641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电子信箱：</w:t>
      </w:r>
      <w:r>
        <w:rPr>
          <w:rFonts w:ascii="Verdana" w:hAnsi="Verdana" w:eastAsia="仿宋_GB2312"/>
          <w:sz w:val="24"/>
          <w:szCs w:val="24"/>
          <w:u w:val="single"/>
        </w:rPr>
        <w:t>    </w:t>
      </w:r>
      <w:r>
        <w:rPr>
          <w:rFonts w:ascii="Verdana" w:eastAsia="仿宋_GB2312"/>
          <w:sz w:val="24"/>
          <w:szCs w:val="24"/>
        </w:rPr>
        <w:t>；</w:t>
      </w:r>
    </w:p>
    <w:p w14:paraId="1F643A6C">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通信地址：</w:t>
      </w:r>
      <w:r>
        <w:rPr>
          <w:rFonts w:ascii="Verdana" w:hAnsi="Verdana" w:eastAsia="仿宋_GB2312"/>
          <w:sz w:val="24"/>
          <w:szCs w:val="24"/>
          <w:u w:val="single"/>
        </w:rPr>
        <w:t>  </w:t>
      </w:r>
      <w:r>
        <w:rPr>
          <w:rFonts w:ascii="Verdana" w:eastAsia="仿宋_GB2312"/>
          <w:sz w:val="24"/>
          <w:szCs w:val="24"/>
        </w:rPr>
        <w:t>。</w:t>
      </w:r>
    </w:p>
    <w:p w14:paraId="0BE9E3CF">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发包人对发包人代表的授权范围如下：</w:t>
      </w:r>
      <w:r>
        <w:rPr>
          <w:rFonts w:ascii="Verdana" w:eastAsia="仿宋_GB2312"/>
          <w:sz w:val="24"/>
          <w:szCs w:val="24"/>
          <w:u w:val="single"/>
        </w:rPr>
        <w:t>对工程进行全面监督、审批监理工程师提交的报告、协调外部关系以保证工程顺利进行；检查、督促施工单位、监理单位的现场工作；组织协调施工现场与工程相关部门的工作，发包人指令的下达、相关问题的处理</w:t>
      </w:r>
      <w:r>
        <w:rPr>
          <w:rFonts w:ascii="Verdana" w:eastAsia="仿宋_GB2312"/>
          <w:sz w:val="24"/>
          <w:szCs w:val="24"/>
        </w:rPr>
        <w:t>。</w:t>
      </w:r>
    </w:p>
    <w:p w14:paraId="54932665">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2.4 </w:t>
      </w:r>
      <w:r>
        <w:rPr>
          <w:rFonts w:ascii="Verdana" w:eastAsia="黑体"/>
          <w:sz w:val="24"/>
          <w:szCs w:val="24"/>
        </w:rPr>
        <w:t>施工现场、施工条件和基础资料的提供</w:t>
      </w:r>
    </w:p>
    <w:p w14:paraId="026C67CD">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2.4.1 </w:t>
      </w:r>
      <w:r>
        <w:rPr>
          <w:rFonts w:ascii="Verdana" w:eastAsia="仿宋_GB2312"/>
          <w:sz w:val="24"/>
          <w:szCs w:val="24"/>
        </w:rPr>
        <w:t>提供施工现场</w:t>
      </w:r>
    </w:p>
    <w:p w14:paraId="51646D48">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关于发包人移交施工现场的期限要求：</w:t>
      </w:r>
      <w:r>
        <w:rPr>
          <w:rFonts w:ascii="Verdana" w:hAnsi="Verdana" w:eastAsia="仿宋_GB2312"/>
          <w:sz w:val="24"/>
          <w:szCs w:val="24"/>
          <w:u w:val="single"/>
        </w:rPr>
        <w:t></w:t>
      </w:r>
      <w:r>
        <w:rPr>
          <w:rFonts w:ascii="Verdana" w:eastAsia="仿宋_GB2312"/>
          <w:sz w:val="24"/>
          <w:szCs w:val="24"/>
          <w:u w:val="single"/>
        </w:rPr>
        <w:t>开工日期</w:t>
      </w:r>
      <w:r>
        <w:rPr>
          <w:rFonts w:ascii="Verdana" w:hAnsi="Verdana" w:eastAsia="仿宋_GB2312"/>
          <w:sz w:val="24"/>
          <w:szCs w:val="24"/>
          <w:u w:val="single"/>
        </w:rPr>
        <w:t xml:space="preserve"> 7 </w:t>
      </w:r>
      <w:r>
        <w:rPr>
          <w:rFonts w:ascii="Verdana" w:eastAsia="仿宋_GB2312"/>
          <w:sz w:val="24"/>
          <w:szCs w:val="24"/>
          <w:u w:val="single"/>
        </w:rPr>
        <w:t>天前</w:t>
      </w:r>
      <w:r>
        <w:rPr>
          <w:rFonts w:ascii="Verdana" w:eastAsia="仿宋_GB2312"/>
          <w:sz w:val="24"/>
          <w:szCs w:val="24"/>
        </w:rPr>
        <w:t>。</w:t>
      </w:r>
    </w:p>
    <w:p w14:paraId="511B0C26">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2.4.2 </w:t>
      </w:r>
      <w:r>
        <w:rPr>
          <w:rFonts w:ascii="Verdana" w:eastAsia="仿宋_GB2312"/>
          <w:sz w:val="24"/>
          <w:szCs w:val="24"/>
        </w:rPr>
        <w:t>提供施工条件</w:t>
      </w:r>
    </w:p>
    <w:p w14:paraId="74190F80">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关于发包人应负责提供施工所需要的条件，包括：</w:t>
      </w:r>
      <w:r>
        <w:rPr>
          <w:rFonts w:ascii="Verdana" w:eastAsia="仿宋_GB2312"/>
          <w:sz w:val="24"/>
          <w:szCs w:val="24"/>
          <w:u w:val="single"/>
        </w:rPr>
        <w:t>（</w:t>
      </w:r>
      <w:r>
        <w:rPr>
          <w:rFonts w:ascii="Verdana" w:hAnsi="Verdana" w:eastAsia="仿宋_GB2312"/>
          <w:sz w:val="24"/>
          <w:szCs w:val="24"/>
          <w:u w:val="single"/>
        </w:rPr>
        <w:t>1</w:t>
      </w:r>
      <w:r>
        <w:rPr>
          <w:rFonts w:ascii="Verdana" w:eastAsia="仿宋_GB2312"/>
          <w:sz w:val="24"/>
          <w:szCs w:val="24"/>
          <w:u w:val="single"/>
        </w:rPr>
        <w:t>）由承包人自行提供材料、设备接水、接电，并自备合格计量表计量，供水、供电费用（含接水、接电费用）由承包人支付，通讯工具自备；</w:t>
      </w:r>
      <w:r>
        <w:rPr>
          <w:rFonts w:ascii="Verdana" w:hAnsi="Verdana" w:eastAsia="仿宋_GB2312"/>
          <w:sz w:val="24"/>
          <w:szCs w:val="24"/>
          <w:u w:val="single"/>
        </w:rPr>
        <w:t>(2)</w:t>
      </w:r>
      <w:r>
        <w:rPr>
          <w:rFonts w:ascii="Verdana" w:eastAsia="仿宋_GB2312"/>
          <w:sz w:val="24"/>
          <w:szCs w:val="24"/>
          <w:u w:val="single"/>
        </w:rPr>
        <w:t>施工场地与公共道路的通道开通时间和要求：见现场实际条件，包含在合同价中；</w:t>
      </w:r>
      <w:r>
        <w:rPr>
          <w:rFonts w:ascii="Verdana" w:hAnsi="Verdana" w:eastAsia="仿宋_GB2312"/>
          <w:sz w:val="24"/>
          <w:szCs w:val="24"/>
          <w:u w:val="single"/>
        </w:rPr>
        <w:t>(3)</w:t>
      </w:r>
      <w:r>
        <w:rPr>
          <w:rFonts w:ascii="Verdana" w:eastAsia="仿宋_GB2312"/>
          <w:sz w:val="24"/>
          <w:szCs w:val="24"/>
          <w:u w:val="single"/>
        </w:rPr>
        <w:t>协调处理施工场地周围地下管线和邻近建筑物、构筑物（含文物保护建筑）、古树名木的保护工作：由发包人会同承包人负责做好保护工作，承包人如在施工中发现问题应及时报告发包人、设计院及监理，由发包人会同有关部门出具解决方案。费用双方协商解决</w:t>
      </w:r>
      <w:r>
        <w:rPr>
          <w:rFonts w:ascii="Verdana" w:eastAsia="仿宋_GB2312"/>
          <w:sz w:val="24"/>
          <w:szCs w:val="24"/>
        </w:rPr>
        <w:t>。</w:t>
      </w:r>
    </w:p>
    <w:p w14:paraId="4A773940">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2.5 </w:t>
      </w:r>
      <w:r>
        <w:rPr>
          <w:rFonts w:ascii="Verdana" w:eastAsia="黑体"/>
          <w:sz w:val="24"/>
          <w:szCs w:val="24"/>
        </w:rPr>
        <w:t>资金来源证明及支付担保</w:t>
      </w:r>
    </w:p>
    <w:p w14:paraId="1F975164">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发包人提供资金来源证明的期限要求：</w:t>
      </w:r>
      <w:r>
        <w:rPr>
          <w:rFonts w:ascii="Verdana" w:hAnsi="Verdana" w:eastAsia="仿宋_GB2312"/>
          <w:sz w:val="24"/>
          <w:szCs w:val="24"/>
          <w:u w:val="single"/>
        </w:rPr>
        <w:t>  /</w:t>
      </w:r>
      <w:r>
        <w:rPr>
          <w:rFonts w:ascii="Verdana" w:eastAsia="仿宋_GB2312"/>
          <w:sz w:val="24"/>
          <w:szCs w:val="24"/>
        </w:rPr>
        <w:t>。</w:t>
      </w:r>
    </w:p>
    <w:p w14:paraId="730DCE23">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发包人是否提供支付担保：</w:t>
      </w:r>
      <w:r>
        <w:rPr>
          <w:rFonts w:ascii="Verdana" w:hAnsi="Verdana" w:eastAsia="仿宋_GB2312"/>
          <w:sz w:val="24"/>
          <w:szCs w:val="24"/>
          <w:u w:val="single"/>
        </w:rPr>
        <w:t xml:space="preserve">         /       </w:t>
      </w:r>
      <w:r>
        <w:rPr>
          <w:rFonts w:ascii="Verdana" w:eastAsia="仿宋_GB2312"/>
          <w:sz w:val="24"/>
          <w:szCs w:val="24"/>
        </w:rPr>
        <w:t>。</w:t>
      </w:r>
    </w:p>
    <w:p w14:paraId="186A7E26">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发包人提供支付担保的形式：</w:t>
      </w:r>
      <w:r>
        <w:rPr>
          <w:rFonts w:ascii="Verdana" w:hAnsi="Verdana" w:eastAsia="仿宋_GB2312"/>
          <w:sz w:val="24"/>
          <w:szCs w:val="24"/>
          <w:u w:val="single"/>
        </w:rPr>
        <w:t>        /     </w:t>
      </w:r>
      <w:r>
        <w:rPr>
          <w:rFonts w:ascii="Verdana" w:eastAsia="仿宋_GB2312"/>
          <w:sz w:val="24"/>
          <w:szCs w:val="24"/>
        </w:rPr>
        <w:t>。</w:t>
      </w:r>
    </w:p>
    <w:p w14:paraId="726E3811">
      <w:pPr>
        <w:pStyle w:val="5"/>
        <w:adjustRightInd w:val="0"/>
        <w:snapToGrid w:val="0"/>
        <w:spacing w:before="120" w:after="120" w:line="300" w:lineRule="auto"/>
        <w:jc w:val="left"/>
        <w:rPr>
          <w:rFonts w:ascii="Verdana" w:hAnsi="Verdana"/>
          <w:b/>
          <w:sz w:val="24"/>
          <w:szCs w:val="24"/>
        </w:rPr>
      </w:pPr>
      <w:bookmarkStart w:id="65" w:name="_Toc351203635"/>
      <w:r>
        <w:rPr>
          <w:rFonts w:ascii="Verdana" w:hAnsi="Verdana"/>
          <w:sz w:val="24"/>
          <w:szCs w:val="24"/>
        </w:rPr>
        <w:t>3</w:t>
      </w:r>
      <w:bookmarkStart w:id="66" w:name="_Toc296346659"/>
      <w:bookmarkStart w:id="67" w:name="_Toc292559868"/>
      <w:bookmarkStart w:id="68" w:name="_Toc296503158"/>
      <w:bookmarkStart w:id="69" w:name="_Toc292559363"/>
      <w:bookmarkStart w:id="70" w:name="_Toc296944497"/>
      <w:bookmarkStart w:id="71" w:name="_Toc296891198"/>
      <w:bookmarkStart w:id="72" w:name="_Toc297120458"/>
      <w:bookmarkStart w:id="73" w:name="_Toc296890986"/>
      <w:bookmarkStart w:id="74" w:name="_Toc296347157"/>
      <w:bookmarkStart w:id="75" w:name="_Toc297048344"/>
      <w:r>
        <w:rPr>
          <w:rFonts w:ascii="Verdana" w:hAnsi="Verdana"/>
          <w:sz w:val="24"/>
          <w:szCs w:val="24"/>
        </w:rPr>
        <w:t xml:space="preserve">. </w:t>
      </w:r>
      <w:r>
        <w:rPr>
          <w:rFonts w:ascii="Verdana"/>
          <w:sz w:val="24"/>
          <w:szCs w:val="24"/>
        </w:rPr>
        <w:t>承包人</w:t>
      </w:r>
      <w:bookmarkEnd w:id="65"/>
    </w:p>
    <w:bookmarkEnd w:id="66"/>
    <w:bookmarkEnd w:id="67"/>
    <w:bookmarkEnd w:id="68"/>
    <w:bookmarkEnd w:id="69"/>
    <w:bookmarkEnd w:id="70"/>
    <w:bookmarkEnd w:id="71"/>
    <w:bookmarkEnd w:id="72"/>
    <w:bookmarkEnd w:id="73"/>
    <w:bookmarkEnd w:id="74"/>
    <w:bookmarkEnd w:id="75"/>
    <w:p w14:paraId="341E8AC0">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3.1 </w:t>
      </w:r>
      <w:r>
        <w:rPr>
          <w:rFonts w:ascii="Verdana" w:eastAsia="黑体"/>
          <w:sz w:val="24"/>
          <w:szCs w:val="24"/>
        </w:rPr>
        <w:t>承包人的一般义务</w:t>
      </w:r>
    </w:p>
    <w:p w14:paraId="775D9C17">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w:t>
      </w:r>
      <w:r>
        <w:rPr>
          <w:rFonts w:ascii="Verdana" w:hAnsi="Verdana" w:eastAsia="仿宋_GB2312"/>
          <w:sz w:val="24"/>
          <w:szCs w:val="24"/>
        </w:rPr>
        <w:t>9</w:t>
      </w:r>
      <w:r>
        <w:rPr>
          <w:rFonts w:ascii="Verdana" w:eastAsia="仿宋_GB2312"/>
          <w:sz w:val="24"/>
          <w:szCs w:val="24"/>
        </w:rPr>
        <w:t>）承包人提交的竣工资料的内容：</w:t>
      </w:r>
      <w:r>
        <w:rPr>
          <w:rFonts w:ascii="Verdana" w:eastAsia="仿宋_GB2312"/>
          <w:sz w:val="24"/>
          <w:szCs w:val="24"/>
          <w:u w:val="single"/>
        </w:rPr>
        <w:t>承包人应在工程具备竣工验收条件后</w:t>
      </w:r>
      <w:r>
        <w:rPr>
          <w:rFonts w:ascii="Verdana" w:hAnsi="Verdana" w:eastAsia="仿宋_GB2312"/>
          <w:sz w:val="24"/>
          <w:szCs w:val="24"/>
          <w:u w:val="single"/>
        </w:rPr>
        <w:t xml:space="preserve"> 30 </w:t>
      </w:r>
      <w:r>
        <w:rPr>
          <w:rFonts w:ascii="Verdana" w:eastAsia="仿宋_GB2312"/>
          <w:sz w:val="24"/>
          <w:szCs w:val="24"/>
          <w:u w:val="single"/>
        </w:rPr>
        <w:t>天内按国家工程竣工验收标准，向发包人提供完整竣工资料</w:t>
      </w:r>
      <w:r>
        <w:rPr>
          <w:rFonts w:ascii="Verdana" w:hAnsi="Verdana" w:eastAsia="仿宋_GB2312"/>
          <w:sz w:val="24"/>
          <w:szCs w:val="24"/>
          <w:u w:val="single"/>
        </w:rPr>
        <w:t>(</w:t>
      </w:r>
      <w:r>
        <w:rPr>
          <w:rFonts w:ascii="Verdana" w:eastAsia="仿宋_GB2312"/>
          <w:sz w:val="24"/>
          <w:szCs w:val="24"/>
          <w:u w:val="single"/>
        </w:rPr>
        <w:t>含竣工图</w:t>
      </w:r>
      <w:r>
        <w:rPr>
          <w:rFonts w:ascii="Verdana" w:hAnsi="Verdana" w:eastAsia="仿宋_GB2312"/>
          <w:sz w:val="24"/>
          <w:szCs w:val="24"/>
          <w:u w:val="single"/>
        </w:rPr>
        <w:t>)</w:t>
      </w:r>
      <w:r>
        <w:rPr>
          <w:rFonts w:ascii="Verdana" w:eastAsia="仿宋_GB2312"/>
          <w:sz w:val="24"/>
          <w:szCs w:val="24"/>
          <w:u w:val="single"/>
        </w:rPr>
        <w:t>及竣工验收报告</w:t>
      </w:r>
      <w:r>
        <w:rPr>
          <w:rFonts w:ascii="Verdana" w:hAnsi="Verdana" w:eastAsia="仿宋_GB2312"/>
          <w:sz w:val="24"/>
          <w:szCs w:val="24"/>
          <w:u w:val="single"/>
        </w:rPr>
        <w:t xml:space="preserve"> [</w:t>
      </w:r>
      <w:r>
        <w:rPr>
          <w:rFonts w:ascii="Verdana" w:eastAsia="仿宋_GB2312"/>
          <w:sz w:val="24"/>
          <w:szCs w:val="24"/>
          <w:u w:val="single"/>
        </w:rPr>
        <w:t>两套竣工资料原件，四套复印件及电子文档一套</w:t>
      </w:r>
      <w:r>
        <w:rPr>
          <w:rFonts w:ascii="Verdana" w:hAnsi="Verdana" w:eastAsia="仿宋_GB2312"/>
          <w:sz w:val="24"/>
          <w:szCs w:val="24"/>
          <w:u w:val="single"/>
        </w:rPr>
        <w:t>]</w:t>
      </w:r>
      <w:r>
        <w:rPr>
          <w:rFonts w:ascii="Verdana" w:eastAsia="仿宋_GB2312"/>
          <w:sz w:val="24"/>
          <w:szCs w:val="24"/>
          <w:u w:val="single"/>
        </w:rPr>
        <w:t>，且符合工程所在地质安站、城建档案馆等相关部门要求，并自行承担相关费用</w:t>
      </w:r>
      <w:r>
        <w:rPr>
          <w:rFonts w:ascii="Verdana" w:eastAsia="仿宋_GB2312"/>
          <w:sz w:val="24"/>
          <w:szCs w:val="24"/>
        </w:rPr>
        <w:t>。</w:t>
      </w:r>
    </w:p>
    <w:p w14:paraId="491383B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承包人需要提交的竣工资料套数：</w:t>
      </w:r>
      <w:r>
        <w:rPr>
          <w:rFonts w:ascii="Verdana" w:eastAsia="仿宋_GB2312"/>
          <w:sz w:val="24"/>
          <w:szCs w:val="24"/>
          <w:u w:val="single"/>
        </w:rPr>
        <w:t>两套竣工资料原件，四套复印件及电子文档一套</w:t>
      </w:r>
      <w:r>
        <w:rPr>
          <w:rFonts w:ascii="Verdana" w:eastAsia="仿宋_GB2312"/>
          <w:sz w:val="24"/>
          <w:szCs w:val="24"/>
        </w:rPr>
        <w:t>。</w:t>
      </w:r>
    </w:p>
    <w:p w14:paraId="17EDD2C0">
      <w:pPr>
        <w:adjustRightInd w:val="0"/>
        <w:snapToGrid w:val="0"/>
        <w:spacing w:line="300" w:lineRule="auto"/>
        <w:ind w:left="638" w:leftChars="304"/>
        <w:rPr>
          <w:rFonts w:ascii="Verdana" w:hAnsi="Verdana" w:eastAsia="仿宋_GB2312"/>
          <w:sz w:val="24"/>
          <w:szCs w:val="24"/>
        </w:rPr>
      </w:pPr>
      <w:r>
        <w:rPr>
          <w:rFonts w:ascii="Verdana" w:eastAsia="仿宋_GB2312"/>
          <w:sz w:val="24"/>
          <w:szCs w:val="24"/>
        </w:rPr>
        <w:t>承包人提交的竣工资料的费用承担：</w:t>
      </w:r>
      <w:r>
        <w:rPr>
          <w:rFonts w:ascii="Verdana" w:eastAsia="仿宋_GB2312"/>
          <w:sz w:val="24"/>
          <w:szCs w:val="24"/>
          <w:u w:val="single"/>
        </w:rPr>
        <w:t>由承包人承担</w:t>
      </w:r>
      <w:r>
        <w:rPr>
          <w:rFonts w:ascii="Verdana" w:eastAsia="仿宋_GB2312"/>
          <w:sz w:val="24"/>
          <w:szCs w:val="24"/>
        </w:rPr>
        <w:t>。</w:t>
      </w:r>
    </w:p>
    <w:p w14:paraId="4496756F">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承包人提交的竣工资料移交时间：</w:t>
      </w:r>
      <w:r>
        <w:rPr>
          <w:rFonts w:ascii="Verdana" w:eastAsia="仿宋_GB2312"/>
          <w:sz w:val="24"/>
          <w:szCs w:val="24"/>
          <w:u w:val="single"/>
        </w:rPr>
        <w:t>工程具备竣工验收条件后</w:t>
      </w:r>
      <w:r>
        <w:rPr>
          <w:rFonts w:ascii="Verdana" w:hAnsi="Verdana" w:eastAsia="仿宋_GB2312"/>
          <w:sz w:val="24"/>
          <w:szCs w:val="24"/>
          <w:u w:val="single"/>
        </w:rPr>
        <w:t xml:space="preserve"> 40 </w:t>
      </w:r>
      <w:r>
        <w:rPr>
          <w:rFonts w:ascii="Verdana" w:eastAsia="仿宋_GB2312"/>
          <w:sz w:val="24"/>
          <w:szCs w:val="24"/>
          <w:u w:val="single"/>
        </w:rPr>
        <w:t>天内提供符合城建档案馆和行政质检监督部门要求的完整的竣工验收资料、竣工图、完整的竣工结算资料和竣工结算书等其他资料。当报送的资料不符合相关主管部门要求而重新报送或补送资料的，其资料报送有效时间为承包人最后一次报送时间。承包人提供的竣工资料及竣工图每拖延一天发包人将从承包人工程款中扣除</w:t>
      </w:r>
      <w:r>
        <w:rPr>
          <w:rFonts w:ascii="Verdana" w:hAnsi="Verdana" w:eastAsia="仿宋_GB2312"/>
          <w:sz w:val="24"/>
          <w:szCs w:val="24"/>
          <w:u w:val="single"/>
        </w:rPr>
        <w:t xml:space="preserve"> 1 </w:t>
      </w:r>
      <w:r>
        <w:rPr>
          <w:rFonts w:ascii="Verdana" w:eastAsia="仿宋_GB2312"/>
          <w:sz w:val="24"/>
          <w:szCs w:val="24"/>
          <w:u w:val="single"/>
        </w:rPr>
        <w:t>万违约金，造成发包人、监理人管理费用的增加，应由承包人承担。发包人保留进一步向承包人索赔补偿损失不足部分的权利。</w:t>
      </w:r>
    </w:p>
    <w:p w14:paraId="09C28594">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承包人提交的竣工资料形式要求：</w:t>
      </w:r>
      <w:r>
        <w:rPr>
          <w:rFonts w:ascii="Verdana" w:eastAsia="仿宋_GB2312"/>
          <w:sz w:val="24"/>
          <w:szCs w:val="24"/>
          <w:u w:val="single"/>
        </w:rPr>
        <w:t>书面文件和电子文件</w:t>
      </w:r>
      <w:r>
        <w:rPr>
          <w:rFonts w:ascii="Verdana" w:eastAsia="仿宋_GB2312"/>
          <w:sz w:val="24"/>
          <w:szCs w:val="24"/>
        </w:rPr>
        <w:t>。</w:t>
      </w:r>
    </w:p>
    <w:p w14:paraId="76596FDE">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w:t>
      </w:r>
      <w:r>
        <w:rPr>
          <w:rFonts w:ascii="Verdana" w:hAnsi="Verdana" w:eastAsia="仿宋_GB2312"/>
          <w:sz w:val="24"/>
          <w:szCs w:val="24"/>
        </w:rPr>
        <w:t>10</w:t>
      </w:r>
      <w:r>
        <w:rPr>
          <w:rFonts w:ascii="Verdana" w:eastAsia="仿宋_GB2312"/>
          <w:sz w:val="24"/>
          <w:szCs w:val="24"/>
        </w:rPr>
        <w:t>）承包人应履行的其他义务：</w:t>
      </w:r>
      <w:r>
        <w:rPr>
          <w:rFonts w:ascii="Verdana" w:eastAsia="仿宋_GB2312"/>
          <w:sz w:val="24"/>
          <w:szCs w:val="24"/>
          <w:u w:val="single"/>
        </w:rPr>
        <w:t>①承担施工安全保卫工作及非夜间施工照明的责任和要求：承包人认真做好施工现场的安全防护工作（包括照明、安全设施等），承包人对安全防护工作负全责（责任和费用）。在实施和完成本工程过程中，承包人应充分关注和保障所有在场人员及行人的安全，采取有效措施，使施工现场和本工程的实施保持有条不紊；为保护本工程免遭损坏，或为现场附近和过往人群的安全与方便，在确有必要的时候和地方，当监理工程师或有关主管部门要求时，承包人应提供照明、警卫、护栅、警告标志等安全防护措施。非施工人员不得进入现场。相关费用已包含在合同价中。安全事故，由承包人承担；②向发包人提供的办公和生活房屋及设施的要求：向发包人提供</w:t>
      </w:r>
      <w:r>
        <w:rPr>
          <w:rFonts w:ascii="Verdana" w:hAnsi="Verdana" w:eastAsia="仿宋_GB2312"/>
          <w:sz w:val="24"/>
          <w:szCs w:val="24"/>
          <w:u w:val="single"/>
        </w:rPr>
        <w:t xml:space="preserve"> 1 </w:t>
      </w:r>
      <w:r>
        <w:rPr>
          <w:rFonts w:ascii="Verdana" w:eastAsia="仿宋_GB2312"/>
          <w:sz w:val="24"/>
          <w:szCs w:val="24"/>
          <w:u w:val="single"/>
        </w:rPr>
        <w:t>间办公室，配套办公家具。费用由承包人承担，电脑等办公用品由发包人自备；③需承包人办理的有关施工场地交通、环卫和施工噪音管理等手续</w:t>
      </w:r>
      <w:r>
        <w:rPr>
          <w:rFonts w:ascii="Verdana" w:hAnsi="Verdana" w:eastAsia="仿宋_GB2312"/>
          <w:sz w:val="24"/>
          <w:szCs w:val="24"/>
          <w:u w:val="single"/>
        </w:rPr>
        <w:t xml:space="preserve">: </w:t>
      </w:r>
      <w:r>
        <w:rPr>
          <w:rFonts w:ascii="Verdana" w:eastAsia="仿宋_GB2312"/>
          <w:sz w:val="24"/>
          <w:szCs w:val="24"/>
          <w:u w:val="single"/>
        </w:rPr>
        <w:t>承包人应遵守政府有关主管部门对施工场地及城市道路、周边建筑排污、渣土、环保（含施工噪音、施工粉尘）、环卫、市容、城建、治安、交管、人口管理以及安全生产等的管理规定，由承包人办理相关手续，并由承包人承担发生的一切费用；④已完工程成品保护的特殊要求及费用承担：由承包人负责成品保护并承担费用；⑤施工场地周围地下管线和邻近建筑物、构筑物</w:t>
      </w:r>
      <w:r>
        <w:rPr>
          <w:rFonts w:ascii="Verdana" w:hAnsi="Verdana" w:eastAsia="仿宋_GB2312"/>
          <w:sz w:val="24"/>
          <w:szCs w:val="24"/>
          <w:u w:val="single"/>
        </w:rPr>
        <w:t>(</w:t>
      </w:r>
      <w:r>
        <w:rPr>
          <w:rFonts w:ascii="Verdana" w:eastAsia="仿宋_GB2312"/>
          <w:sz w:val="24"/>
          <w:szCs w:val="24"/>
          <w:u w:val="single"/>
        </w:rPr>
        <w:t>含文物保护建筑</w:t>
      </w:r>
      <w:r>
        <w:rPr>
          <w:rFonts w:ascii="Verdana" w:hAnsi="Verdana" w:eastAsia="仿宋_GB2312"/>
          <w:sz w:val="24"/>
          <w:szCs w:val="24"/>
          <w:u w:val="single"/>
        </w:rPr>
        <w:t>)</w:t>
      </w:r>
      <w:r>
        <w:rPr>
          <w:rFonts w:ascii="Verdana" w:eastAsia="仿宋_GB2312"/>
          <w:sz w:val="24"/>
          <w:szCs w:val="24"/>
          <w:u w:val="single"/>
        </w:rPr>
        <w:t>、古树名木的保护要求及费用承担：现场施工应采取相应的保护措施，并将保护措施及设施清单登记造册报发包人备案。如承包人未履行上述义务造成工程、财产的损失，由承包人承担责任及所发生的费用。如承包人未及时解决上述问题并引起不良影响的，发包人有权直接赔付，费用从工程款中扣除。尤其是需做好管线保护工作，具体要求是：</w:t>
      </w:r>
      <w:r>
        <w:rPr>
          <w:rFonts w:ascii="Verdana" w:hAnsi="Verdana" w:eastAsia="仿宋_GB2312"/>
          <w:sz w:val="24"/>
          <w:szCs w:val="24"/>
          <w:u w:val="single"/>
        </w:rPr>
        <w:t>1</w:t>
      </w:r>
      <w:r>
        <w:rPr>
          <w:rFonts w:ascii="Verdana" w:eastAsia="仿宋_GB2312"/>
          <w:sz w:val="24"/>
          <w:szCs w:val="24"/>
          <w:u w:val="single"/>
        </w:rPr>
        <w:t>、有审批手续；</w:t>
      </w:r>
      <w:r>
        <w:rPr>
          <w:rFonts w:ascii="Verdana" w:hAnsi="Verdana" w:eastAsia="仿宋_GB2312"/>
          <w:sz w:val="24"/>
          <w:szCs w:val="24"/>
          <w:u w:val="single"/>
        </w:rPr>
        <w:t>2</w:t>
      </w:r>
      <w:r>
        <w:rPr>
          <w:rFonts w:ascii="Verdana" w:eastAsia="仿宋_GB2312"/>
          <w:sz w:val="24"/>
          <w:szCs w:val="24"/>
          <w:u w:val="single"/>
        </w:rPr>
        <w:t>、有施工方案；</w:t>
      </w:r>
      <w:r>
        <w:rPr>
          <w:rFonts w:ascii="Verdana" w:hAnsi="Verdana" w:eastAsia="仿宋_GB2312"/>
          <w:sz w:val="24"/>
          <w:szCs w:val="24"/>
          <w:u w:val="single"/>
        </w:rPr>
        <w:t>3</w:t>
      </w:r>
      <w:r>
        <w:rPr>
          <w:rFonts w:ascii="Verdana" w:eastAsia="仿宋_GB2312"/>
          <w:sz w:val="24"/>
          <w:szCs w:val="24"/>
          <w:u w:val="single"/>
        </w:rPr>
        <w:t>、有标志标识；</w:t>
      </w:r>
      <w:r>
        <w:rPr>
          <w:rFonts w:ascii="Verdana" w:hAnsi="Verdana" w:eastAsia="仿宋_GB2312"/>
          <w:sz w:val="24"/>
          <w:szCs w:val="24"/>
          <w:u w:val="single"/>
        </w:rPr>
        <w:t>4</w:t>
      </w:r>
      <w:r>
        <w:rPr>
          <w:rFonts w:ascii="Verdana" w:eastAsia="仿宋_GB2312"/>
          <w:sz w:val="24"/>
          <w:szCs w:val="24"/>
          <w:u w:val="single"/>
        </w:rPr>
        <w:t>、有管线资料和现场交底；</w:t>
      </w:r>
      <w:r>
        <w:rPr>
          <w:rFonts w:ascii="Verdana" w:hAnsi="Verdana" w:eastAsia="仿宋_GB2312"/>
          <w:sz w:val="24"/>
          <w:szCs w:val="24"/>
          <w:u w:val="single"/>
        </w:rPr>
        <w:t>5</w:t>
      </w:r>
      <w:r>
        <w:rPr>
          <w:rFonts w:ascii="Verdana" w:eastAsia="仿宋_GB2312"/>
          <w:sz w:val="24"/>
          <w:szCs w:val="24"/>
          <w:u w:val="single"/>
        </w:rPr>
        <w:t>、有探挖工序；</w:t>
      </w:r>
      <w:r>
        <w:rPr>
          <w:rFonts w:ascii="Verdana" w:hAnsi="Verdana" w:eastAsia="仿宋_GB2312"/>
          <w:sz w:val="24"/>
          <w:szCs w:val="24"/>
          <w:u w:val="single"/>
        </w:rPr>
        <w:t>6</w:t>
      </w:r>
      <w:r>
        <w:rPr>
          <w:rFonts w:ascii="Verdana" w:eastAsia="仿宋_GB2312"/>
          <w:sz w:val="24"/>
          <w:szCs w:val="24"/>
          <w:u w:val="single"/>
        </w:rPr>
        <w:t>、有应急预案（联络方式）。因承包人原因造成破坏的，承包人必须无条件及时修复，并承担由此发生的全部费用和责任；⑥施工场地清洁卫生的要求：按标准化施工现场管理，保持现场清洁，符合环境要求；交工前清理现场，因施工产生的垃圾外运，费用由承包人自理；⑦承包人有义务对本工程图纸详细审阅，并提出合理化建议，确保施工期间尽量少发生拆除变更等浪费现象。施工过程中因承包人与周围发生的纠纷由承包人自行协商解决，费用由施工单位自理。</w:t>
      </w:r>
      <w:r>
        <w:rPr>
          <w:rFonts w:ascii="Verdana" w:eastAsia="仿宋_GB2312"/>
          <w:sz w:val="24"/>
          <w:szCs w:val="24"/>
        </w:rPr>
        <w:t>。</w:t>
      </w:r>
    </w:p>
    <w:p w14:paraId="66920C58">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3.2 </w:t>
      </w:r>
      <w:r>
        <w:rPr>
          <w:rFonts w:ascii="Verdana" w:eastAsia="黑体"/>
          <w:sz w:val="24"/>
          <w:szCs w:val="24"/>
        </w:rPr>
        <w:t>项目负责人</w:t>
      </w:r>
    </w:p>
    <w:p w14:paraId="728ABED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3.2.1 </w:t>
      </w:r>
      <w:r>
        <w:rPr>
          <w:rFonts w:ascii="Verdana" w:eastAsia="仿宋_GB2312"/>
          <w:sz w:val="24"/>
          <w:szCs w:val="24"/>
        </w:rPr>
        <w:t>项目负责人：</w:t>
      </w:r>
    </w:p>
    <w:p w14:paraId="68A8C1B6">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姓名：</w:t>
      </w:r>
      <w:r>
        <w:rPr>
          <w:rFonts w:ascii="Verdana" w:hAnsi="Verdana" w:eastAsia="仿宋_GB2312"/>
          <w:sz w:val="24"/>
          <w:szCs w:val="24"/>
          <w:u w:val="single"/>
        </w:rPr>
        <w:t>             </w:t>
      </w:r>
      <w:r>
        <w:rPr>
          <w:rFonts w:ascii="Verdana" w:eastAsia="仿宋_GB2312"/>
          <w:sz w:val="24"/>
          <w:szCs w:val="24"/>
        </w:rPr>
        <w:t>；</w:t>
      </w:r>
    </w:p>
    <w:p w14:paraId="23AFE37A">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身份证号：</w:t>
      </w:r>
      <w:r>
        <w:rPr>
          <w:rFonts w:ascii="Verdana" w:hAnsi="Verdana" w:eastAsia="仿宋_GB2312"/>
          <w:sz w:val="24"/>
          <w:szCs w:val="24"/>
          <w:u w:val="single"/>
        </w:rPr>
        <w:t xml:space="preserve">                      </w:t>
      </w:r>
      <w:r>
        <w:rPr>
          <w:rFonts w:ascii="Verdana" w:eastAsia="仿宋_GB2312"/>
          <w:sz w:val="24"/>
          <w:szCs w:val="24"/>
        </w:rPr>
        <w:t>；</w:t>
      </w:r>
    </w:p>
    <w:p w14:paraId="6284AE1A">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建造师执业资格等级：</w:t>
      </w:r>
      <w:r>
        <w:rPr>
          <w:rFonts w:ascii="Verdana" w:hAnsi="Verdana" w:eastAsia="仿宋_GB2312"/>
          <w:sz w:val="24"/>
          <w:szCs w:val="24"/>
          <w:u w:val="single"/>
        </w:rPr>
        <w:t>        </w:t>
      </w:r>
      <w:r>
        <w:rPr>
          <w:rFonts w:ascii="Verdana" w:eastAsia="仿宋_GB2312"/>
          <w:sz w:val="24"/>
          <w:szCs w:val="24"/>
        </w:rPr>
        <w:t>；</w:t>
      </w:r>
    </w:p>
    <w:p w14:paraId="2F207CC5">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建造师注册证书号：</w:t>
      </w:r>
      <w:r>
        <w:rPr>
          <w:rFonts w:ascii="Verdana" w:hAnsi="Verdana" w:eastAsia="仿宋_GB2312"/>
          <w:sz w:val="24"/>
          <w:szCs w:val="24"/>
          <w:u w:val="single"/>
        </w:rPr>
        <w:t>            </w:t>
      </w:r>
      <w:r>
        <w:rPr>
          <w:rFonts w:ascii="Verdana" w:eastAsia="仿宋_GB2312"/>
          <w:sz w:val="24"/>
          <w:szCs w:val="24"/>
        </w:rPr>
        <w:t>；</w:t>
      </w:r>
    </w:p>
    <w:p w14:paraId="28BD25F6">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建造师执业印章号：</w:t>
      </w:r>
      <w:r>
        <w:rPr>
          <w:rFonts w:ascii="Verdana" w:hAnsi="Verdana" w:eastAsia="仿宋_GB2312"/>
          <w:sz w:val="24"/>
          <w:szCs w:val="24"/>
          <w:u w:val="single"/>
        </w:rPr>
        <w:t></w:t>
      </w:r>
      <w:r>
        <w:rPr>
          <w:rFonts w:ascii="Verdana" w:eastAsia="仿宋_GB2312"/>
          <w:sz w:val="24"/>
          <w:szCs w:val="24"/>
        </w:rPr>
        <w:t>；</w:t>
      </w:r>
    </w:p>
    <w:p w14:paraId="6333C5A2">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安全生产考核合格证书号：</w:t>
      </w:r>
      <w:r>
        <w:rPr>
          <w:rFonts w:ascii="Verdana" w:hAnsi="Verdana" w:eastAsia="仿宋_GB2312"/>
          <w:sz w:val="24"/>
          <w:szCs w:val="24"/>
          <w:u w:val="single"/>
        </w:rPr>
        <w:t xml:space="preserve">             </w:t>
      </w:r>
      <w:r>
        <w:rPr>
          <w:rFonts w:ascii="Verdana" w:eastAsia="仿宋_GB2312"/>
          <w:sz w:val="24"/>
          <w:szCs w:val="24"/>
        </w:rPr>
        <w:t>；</w:t>
      </w:r>
    </w:p>
    <w:p w14:paraId="6C30B1BF">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联系电话：</w:t>
      </w:r>
      <w:r>
        <w:rPr>
          <w:rFonts w:ascii="Verdana" w:hAnsi="Verdana" w:eastAsia="仿宋_GB2312"/>
          <w:sz w:val="24"/>
          <w:szCs w:val="24"/>
          <w:u w:val="single"/>
        </w:rPr>
        <w:t>  </w:t>
      </w:r>
      <w:r>
        <w:rPr>
          <w:rFonts w:ascii="Verdana" w:eastAsia="仿宋_GB2312"/>
          <w:sz w:val="24"/>
          <w:szCs w:val="24"/>
        </w:rPr>
        <w:t>；</w:t>
      </w:r>
    </w:p>
    <w:p w14:paraId="14FDC10F">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电子信箱：</w:t>
      </w:r>
      <w:r>
        <w:rPr>
          <w:rFonts w:ascii="Verdana" w:hAnsi="Verdana" w:eastAsia="仿宋_GB2312"/>
          <w:sz w:val="24"/>
          <w:szCs w:val="24"/>
          <w:u w:val="single"/>
        </w:rPr>
        <w:t>  </w:t>
      </w:r>
      <w:r>
        <w:rPr>
          <w:rFonts w:ascii="Verdana" w:eastAsia="仿宋_GB2312"/>
          <w:sz w:val="24"/>
          <w:szCs w:val="24"/>
        </w:rPr>
        <w:t>；</w:t>
      </w:r>
    </w:p>
    <w:p w14:paraId="64620CA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通信地址：</w:t>
      </w:r>
      <w:r>
        <w:rPr>
          <w:rFonts w:ascii="Verdana" w:hAnsi="Verdana" w:eastAsia="仿宋_GB2312"/>
          <w:sz w:val="24"/>
          <w:szCs w:val="24"/>
          <w:u w:val="single"/>
        </w:rPr>
        <w:t>  </w:t>
      </w:r>
      <w:r>
        <w:rPr>
          <w:rFonts w:ascii="Verdana" w:eastAsia="仿宋_GB2312"/>
          <w:sz w:val="24"/>
          <w:szCs w:val="24"/>
        </w:rPr>
        <w:t>；</w:t>
      </w:r>
    </w:p>
    <w:p w14:paraId="60EB285E">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承包人对项目负责人的授权范围如下：</w:t>
      </w:r>
      <w:r>
        <w:rPr>
          <w:rFonts w:ascii="Verdana" w:eastAsia="仿宋_GB2312"/>
          <w:sz w:val="24"/>
          <w:szCs w:val="24"/>
          <w:u w:val="single"/>
        </w:rPr>
        <w:t>全面负责本项目的工程质量控制、进度控制、现场安全生产、文明施工管理、造价及合同管理、信息管理和施工现场的组织协调，以及执行法律法规规章、建设工程施工合同和施工规范等文件规定的承包人应做的工作；对于项目负责人在施工质量、安全等方面的职责和权利，承包人不得违法违规加以剥夺和限制</w:t>
      </w:r>
      <w:r>
        <w:rPr>
          <w:rFonts w:ascii="Verdana" w:eastAsia="仿宋_GB2312"/>
          <w:sz w:val="24"/>
          <w:szCs w:val="24"/>
        </w:rPr>
        <w:t>。</w:t>
      </w:r>
    </w:p>
    <w:p w14:paraId="799E2D64">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关于项目负责人每月在施工现场的时间要求：</w:t>
      </w:r>
      <w:r>
        <w:rPr>
          <w:rFonts w:ascii="Verdana" w:eastAsia="仿宋_GB2312"/>
          <w:sz w:val="24"/>
          <w:szCs w:val="24"/>
          <w:u w:val="single"/>
        </w:rPr>
        <w:t>投标文件中明确的项目负责人应常驻施工现场，每月带班生产时间不得少于本月施工时间的</w:t>
      </w:r>
      <w:r>
        <w:rPr>
          <w:rFonts w:ascii="Verdana" w:hAnsi="Verdana" w:eastAsia="仿宋_GB2312"/>
          <w:sz w:val="24"/>
          <w:szCs w:val="24"/>
          <w:u w:val="single"/>
        </w:rPr>
        <w:t xml:space="preserve"> 80%</w:t>
      </w:r>
      <w:r>
        <w:rPr>
          <w:rFonts w:ascii="Verdana" w:eastAsia="仿宋_GB2312"/>
          <w:sz w:val="24"/>
          <w:szCs w:val="24"/>
          <w:u w:val="single"/>
        </w:rPr>
        <w:t>，必须参加每周召开的工程例会，如有特殊情况离开施工现场或不能参加工程例会必须请假，并应事先征得监理人或发包人同意指定具备履行相应职责的资格和能力的代表临时代行其职责</w:t>
      </w:r>
      <w:r>
        <w:rPr>
          <w:rFonts w:ascii="Verdana" w:eastAsia="仿宋_GB2312"/>
          <w:sz w:val="24"/>
          <w:szCs w:val="24"/>
        </w:rPr>
        <w:t>。</w:t>
      </w:r>
    </w:p>
    <w:p w14:paraId="671B00BB">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承包人未提交劳动合同，以及没有为项目负责人缴纳社会保险证明的违约责任：</w:t>
      </w:r>
      <w:r>
        <w:rPr>
          <w:rFonts w:ascii="Verdana" w:eastAsia="仿宋_GB2312"/>
          <w:sz w:val="24"/>
          <w:szCs w:val="24"/>
          <w:u w:val="single"/>
        </w:rPr>
        <w:t>承包人违约进行转包，发包人有权单方解除合同，如安排其他单位进场施工，由此更换单位造成的一切损失由承包人承担，在发包人更换其他单位进场施工之前，发包人有权对承包人索赔人民币</w:t>
      </w:r>
      <w:r>
        <w:rPr>
          <w:rFonts w:ascii="Verdana" w:hAnsi="Verdana" w:eastAsia="仿宋_GB2312"/>
          <w:sz w:val="24"/>
          <w:szCs w:val="24"/>
          <w:u w:val="single"/>
        </w:rPr>
        <w:t xml:space="preserve"> 2000</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天的违约金，同时承包人还应赔偿给发包人造成的全部经济损失</w:t>
      </w:r>
      <w:r>
        <w:rPr>
          <w:rFonts w:ascii="Verdana" w:eastAsia="仿宋_GB2312"/>
          <w:sz w:val="24"/>
          <w:szCs w:val="24"/>
        </w:rPr>
        <w:t>。</w:t>
      </w:r>
    </w:p>
    <w:p w14:paraId="235C142A">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项目负责人未经批准，擅自离开施工现场的违约责任：</w:t>
      </w:r>
      <w:r>
        <w:rPr>
          <w:rFonts w:ascii="Verdana" w:eastAsia="仿宋_GB2312"/>
          <w:sz w:val="24"/>
          <w:szCs w:val="24"/>
          <w:u w:val="single"/>
        </w:rPr>
        <w:t>发包人代表和监理工程师随时检查项目负责人的出勤情况，凡无故缺席一天或无故缺席一次例会，由承包人向发包人支付违约金人民币</w:t>
      </w:r>
      <w:r>
        <w:rPr>
          <w:rFonts w:ascii="Verdana" w:hAnsi="Verdana" w:eastAsia="仿宋_GB2312"/>
          <w:sz w:val="24"/>
          <w:szCs w:val="24"/>
          <w:u w:val="single"/>
        </w:rPr>
        <w:t xml:space="preserve">1000 </w:t>
      </w:r>
      <w:r>
        <w:rPr>
          <w:rFonts w:ascii="Verdana" w:eastAsia="仿宋_GB2312"/>
          <w:sz w:val="24"/>
          <w:szCs w:val="24"/>
          <w:u w:val="single"/>
        </w:rPr>
        <w:t>元；如一周有两个工作日（或两个月累计</w:t>
      </w:r>
      <w:r>
        <w:rPr>
          <w:rFonts w:ascii="Verdana" w:hAnsi="Verdana" w:eastAsia="仿宋_GB2312"/>
          <w:sz w:val="24"/>
          <w:szCs w:val="24"/>
          <w:u w:val="single"/>
        </w:rPr>
        <w:t xml:space="preserve"> 10 </w:t>
      </w:r>
      <w:r>
        <w:rPr>
          <w:rFonts w:ascii="Verdana" w:eastAsia="仿宋_GB2312"/>
          <w:sz w:val="24"/>
          <w:szCs w:val="24"/>
          <w:u w:val="single"/>
        </w:rPr>
        <w:t>天）无故不在现场或两个月缺席例会三次，为严重违约，发包人有权单方解除合同或要求承包人更换项目负责人，由此造成的一切损失由承包人承担；项目负责人必须保持至少一部手机全天</w:t>
      </w:r>
      <w:r>
        <w:rPr>
          <w:rFonts w:ascii="Verdana" w:hAnsi="Verdana" w:eastAsia="仿宋_GB2312"/>
          <w:sz w:val="24"/>
          <w:szCs w:val="24"/>
          <w:u w:val="single"/>
        </w:rPr>
        <w:t xml:space="preserve"> 24 </w:t>
      </w:r>
      <w:r>
        <w:rPr>
          <w:rFonts w:ascii="Verdana" w:eastAsia="仿宋_GB2312"/>
          <w:sz w:val="24"/>
          <w:szCs w:val="24"/>
          <w:u w:val="single"/>
        </w:rPr>
        <w:t>小时通讯畅通，若预计或已发现通讯不畅必须及时与发包人代表和监理工程师联系；若发生发包人代表或监理工程师与项目负责人联系不上情况的，发包人或监理人可以要求承包人缴纳人民币</w:t>
      </w:r>
      <w:r>
        <w:rPr>
          <w:rFonts w:ascii="Verdana" w:hAnsi="Verdana" w:eastAsia="仿宋_GB2312"/>
          <w:sz w:val="24"/>
          <w:szCs w:val="24"/>
          <w:u w:val="single"/>
        </w:rPr>
        <w:t xml:space="preserve"> 500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次的违约金</w:t>
      </w:r>
      <w:r>
        <w:rPr>
          <w:rFonts w:ascii="Verdana" w:hAnsi="Verdana" w:eastAsia="仿宋_GB2312"/>
          <w:sz w:val="24"/>
          <w:szCs w:val="24"/>
          <w:u w:val="single"/>
        </w:rPr>
        <w:t></w:t>
      </w:r>
      <w:r>
        <w:rPr>
          <w:rFonts w:ascii="Verdana" w:eastAsia="仿宋_GB2312"/>
          <w:sz w:val="24"/>
          <w:szCs w:val="24"/>
        </w:rPr>
        <w:t>。</w:t>
      </w:r>
    </w:p>
    <w:p w14:paraId="19213D7B">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 xml:space="preserve">3.2.3 </w:t>
      </w:r>
      <w:r>
        <w:rPr>
          <w:rFonts w:ascii="Verdana" w:eastAsia="仿宋_GB2312"/>
          <w:sz w:val="24"/>
          <w:szCs w:val="24"/>
        </w:rPr>
        <w:t>承包人擅自更换项目负责人的违约责任：</w:t>
      </w:r>
      <w:r>
        <w:rPr>
          <w:rFonts w:ascii="Verdana" w:eastAsia="仿宋_GB2312"/>
          <w:sz w:val="24"/>
          <w:szCs w:val="24"/>
          <w:u w:val="single"/>
        </w:rPr>
        <w:t>特殊情况经发包人及建设行政主管部门书面同意后方可更换；未经批准承包人擅自更换项目负责人（包括中标项目负责人只是挂名，一周有两个工作日（或两个月累计</w:t>
      </w:r>
      <w:r>
        <w:rPr>
          <w:rFonts w:ascii="Verdana" w:hAnsi="Verdana" w:eastAsia="仿宋_GB2312"/>
          <w:sz w:val="24"/>
          <w:szCs w:val="24"/>
          <w:u w:val="single"/>
        </w:rPr>
        <w:t xml:space="preserve"> 10 </w:t>
      </w:r>
      <w:r>
        <w:rPr>
          <w:rFonts w:ascii="Verdana" w:eastAsia="仿宋_GB2312"/>
          <w:sz w:val="24"/>
          <w:szCs w:val="24"/>
          <w:u w:val="single"/>
        </w:rPr>
        <w:t>天）无故不在现场或两个月缺席例会三次）的，承包人应向发包人支付违约金人民币</w:t>
      </w:r>
      <w:r>
        <w:rPr>
          <w:rFonts w:ascii="Verdana" w:hAnsi="Verdana" w:eastAsia="仿宋_GB2312"/>
          <w:sz w:val="24"/>
          <w:szCs w:val="24"/>
          <w:u w:val="single"/>
        </w:rPr>
        <w:t xml:space="preserve"> 2 </w:t>
      </w:r>
      <w:r>
        <w:rPr>
          <w:rFonts w:ascii="Verdana" w:eastAsia="仿宋_GB2312"/>
          <w:sz w:val="24"/>
          <w:szCs w:val="24"/>
          <w:u w:val="single"/>
        </w:rPr>
        <w:t>万元，并且发包人有权视承包人违约转包可单方解除合同，如安排其他单位进场施工，由此更换单位造成的一切损失由承包人承担，在发包人更换其他单位进场施工之前，发包人有权对承包人索赔人民币</w:t>
      </w:r>
      <w:r>
        <w:rPr>
          <w:rFonts w:ascii="Verdana" w:hAnsi="Verdana" w:eastAsia="仿宋_GB2312"/>
          <w:sz w:val="24"/>
          <w:szCs w:val="24"/>
          <w:u w:val="single"/>
        </w:rPr>
        <w:t xml:space="preserve"> 2000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天的违约金；同时承包人还应赔偿给发包人造成的全部经济损失</w:t>
      </w:r>
      <w:r>
        <w:rPr>
          <w:rFonts w:ascii="Verdana" w:eastAsia="仿宋_GB2312"/>
          <w:sz w:val="24"/>
          <w:szCs w:val="24"/>
        </w:rPr>
        <w:t>。</w:t>
      </w:r>
    </w:p>
    <w:p w14:paraId="640B3B34">
      <w:pPr>
        <w:adjustRightInd w:val="0"/>
        <w:snapToGrid w:val="0"/>
        <w:spacing w:line="300" w:lineRule="auto"/>
        <w:outlineLvl w:val="0"/>
        <w:rPr>
          <w:rFonts w:ascii="Verdana" w:hAnsi="Verdana" w:eastAsia="仿宋_GB2312"/>
          <w:sz w:val="24"/>
          <w:szCs w:val="24"/>
          <w:u w:val="single"/>
        </w:rPr>
      </w:pPr>
      <w:r>
        <w:rPr>
          <w:rFonts w:ascii="Verdana" w:hAnsi="Verdana" w:eastAsia="仿宋_GB2312"/>
          <w:sz w:val="24"/>
          <w:szCs w:val="24"/>
        </w:rPr>
        <w:t xml:space="preserve">    3.2.4 </w:t>
      </w:r>
      <w:r>
        <w:rPr>
          <w:rFonts w:ascii="Verdana" w:eastAsia="仿宋_GB2312"/>
          <w:sz w:val="24"/>
          <w:szCs w:val="24"/>
        </w:rPr>
        <w:t>承包人无正当理由拒绝更换项目负责人的违约责任：</w:t>
      </w:r>
      <w:r>
        <w:rPr>
          <w:rFonts w:ascii="Verdana" w:eastAsia="仿宋_GB2312"/>
          <w:sz w:val="24"/>
          <w:szCs w:val="24"/>
          <w:u w:val="single"/>
        </w:rPr>
        <w:t>承包人应向发包人支付违约金人民币</w:t>
      </w:r>
      <w:r>
        <w:rPr>
          <w:rFonts w:ascii="Verdana" w:hAnsi="Verdana" w:eastAsia="仿宋_GB2312"/>
          <w:sz w:val="24"/>
          <w:szCs w:val="24"/>
          <w:u w:val="single"/>
        </w:rPr>
        <w:t xml:space="preserve"> 2 </w:t>
      </w:r>
      <w:r>
        <w:rPr>
          <w:rFonts w:ascii="Verdana" w:eastAsia="仿宋_GB2312"/>
          <w:sz w:val="24"/>
          <w:szCs w:val="24"/>
          <w:u w:val="single"/>
        </w:rPr>
        <w:t>万元，并且发包人有权单方解除合同，如安排其他单位进场施工，由此更换单位造成的一切损失由承包人承担，在发包人更换其他单位进场施工之前，发包人有权对承包人索赔人民币</w:t>
      </w:r>
      <w:r>
        <w:rPr>
          <w:rFonts w:ascii="Verdana" w:hAnsi="Verdana" w:eastAsia="仿宋_GB2312"/>
          <w:sz w:val="24"/>
          <w:szCs w:val="24"/>
          <w:u w:val="single"/>
        </w:rPr>
        <w:t xml:space="preserve">2000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天的违约金，同时承包人还应赔偿给发包人造成的全部经济损失</w:t>
      </w:r>
      <w:r>
        <w:rPr>
          <w:rFonts w:ascii="Verdana" w:hAnsi="Verdana" w:eastAsia="仿宋_GB2312"/>
          <w:sz w:val="24"/>
          <w:szCs w:val="24"/>
          <w:u w:val="single"/>
        </w:rPr>
        <w:t></w:t>
      </w:r>
      <w:r>
        <w:rPr>
          <w:rFonts w:ascii="Verdana" w:eastAsia="仿宋_GB2312"/>
          <w:sz w:val="24"/>
          <w:szCs w:val="24"/>
        </w:rPr>
        <w:t>。</w:t>
      </w:r>
    </w:p>
    <w:p w14:paraId="61C03538">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3.3 </w:t>
      </w:r>
      <w:r>
        <w:rPr>
          <w:rFonts w:ascii="Verdana" w:eastAsia="黑体"/>
          <w:sz w:val="24"/>
          <w:szCs w:val="24"/>
        </w:rPr>
        <w:t>承包人人员</w:t>
      </w:r>
    </w:p>
    <w:p w14:paraId="0E55742E">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 xml:space="preserve">3.3.1 </w:t>
      </w:r>
      <w:r>
        <w:rPr>
          <w:rFonts w:ascii="Verdana" w:eastAsia="仿宋_GB2312"/>
          <w:sz w:val="24"/>
          <w:szCs w:val="24"/>
        </w:rPr>
        <w:t>承包人提交项目管理机构及施工现场管理人员安排报告的期限：</w:t>
      </w:r>
      <w:r>
        <w:rPr>
          <w:rFonts w:ascii="Verdana" w:eastAsia="仿宋_GB2312"/>
          <w:sz w:val="24"/>
          <w:szCs w:val="24"/>
          <w:u w:val="single"/>
        </w:rPr>
        <w:t>执行通用合同条款</w:t>
      </w:r>
    </w:p>
    <w:p w14:paraId="4252FF1E">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 xml:space="preserve">3.3.3 </w:t>
      </w:r>
      <w:r>
        <w:rPr>
          <w:rFonts w:ascii="Verdana" w:eastAsia="仿宋_GB2312"/>
          <w:sz w:val="24"/>
          <w:szCs w:val="24"/>
        </w:rPr>
        <w:t>承包人无正当理由拒绝撤换主要施工管理人员的违约责任：</w:t>
      </w:r>
      <w:r>
        <w:rPr>
          <w:rFonts w:ascii="Verdana" w:eastAsia="仿宋_GB2312"/>
          <w:sz w:val="24"/>
          <w:szCs w:val="24"/>
          <w:u w:val="single"/>
        </w:rPr>
        <w:t>承包人应向发包人支付违约金人民币</w:t>
      </w:r>
      <w:r>
        <w:rPr>
          <w:rFonts w:ascii="Verdana" w:hAnsi="Verdana" w:eastAsia="仿宋_GB2312"/>
          <w:sz w:val="24"/>
          <w:szCs w:val="24"/>
          <w:u w:val="single"/>
        </w:rPr>
        <w:t xml:space="preserve"> 2000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人次，并且发包人有权要求承包人暂停施工，停工期间造成的一切损失由承包人承担；</w:t>
      </w:r>
      <w:r>
        <w:rPr>
          <w:rFonts w:ascii="Verdana" w:eastAsia="仿宋_GB2312"/>
          <w:sz w:val="24"/>
          <w:szCs w:val="24"/>
        </w:rPr>
        <w:t>。</w:t>
      </w:r>
    </w:p>
    <w:p w14:paraId="27119118">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 xml:space="preserve">3.3.4 </w:t>
      </w:r>
      <w:r>
        <w:rPr>
          <w:rFonts w:ascii="Verdana" w:eastAsia="仿宋_GB2312"/>
          <w:sz w:val="24"/>
          <w:szCs w:val="24"/>
        </w:rPr>
        <w:t>承包人主要施工管理人员离开施工现场的批准要求：</w:t>
      </w:r>
      <w:r>
        <w:rPr>
          <w:rFonts w:ascii="Verdana" w:eastAsia="仿宋_GB2312"/>
          <w:sz w:val="24"/>
          <w:szCs w:val="24"/>
          <w:u w:val="single"/>
        </w:rPr>
        <w:t>投标文件中明确的主要施工管理人员应常驻施工现场，要求在岗率：施工企业负责人带班检查，每月检查时间不少于其工作日的</w:t>
      </w:r>
      <w:r>
        <w:rPr>
          <w:rFonts w:ascii="Verdana" w:hAnsi="Verdana" w:eastAsia="仿宋_GB2312"/>
          <w:sz w:val="24"/>
          <w:szCs w:val="24"/>
          <w:u w:val="single"/>
        </w:rPr>
        <w:t xml:space="preserve"> 25%</w:t>
      </w:r>
      <w:r>
        <w:rPr>
          <w:rFonts w:ascii="Verdana" w:eastAsia="仿宋_GB2312"/>
          <w:sz w:val="24"/>
          <w:szCs w:val="24"/>
          <w:u w:val="single"/>
        </w:rPr>
        <w:t>；项目安全员、项目质检员及其他需要被定位考核人员每月在岗时间不得少于本月施工时间的</w:t>
      </w:r>
      <w:r>
        <w:rPr>
          <w:rFonts w:ascii="Verdana" w:hAnsi="Verdana" w:eastAsia="仿宋_GB2312"/>
          <w:sz w:val="24"/>
          <w:szCs w:val="24"/>
          <w:u w:val="single"/>
        </w:rPr>
        <w:t xml:space="preserve"> 80%</w:t>
      </w:r>
      <w:r>
        <w:rPr>
          <w:rFonts w:ascii="Verdana" w:eastAsia="仿宋_GB2312"/>
          <w:sz w:val="24"/>
          <w:szCs w:val="24"/>
          <w:u w:val="single"/>
        </w:rPr>
        <w:t>；必须参加每周召开的工程例会，如有特殊情况离开施工现场或不能参加工程例会必须请假，并应事先征得监理人或发包人同意指定具备履行相应职责的资格和能力的代表临时代行其职责</w:t>
      </w:r>
      <w:r>
        <w:rPr>
          <w:rFonts w:ascii="Verdana" w:eastAsia="仿宋_GB2312"/>
          <w:sz w:val="24"/>
          <w:szCs w:val="24"/>
        </w:rPr>
        <w:t>。</w:t>
      </w:r>
    </w:p>
    <w:p w14:paraId="2A1E2EF1">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3.3.5</w:t>
      </w:r>
      <w:r>
        <w:rPr>
          <w:rFonts w:ascii="Verdana" w:eastAsia="仿宋_GB2312"/>
          <w:sz w:val="24"/>
          <w:szCs w:val="24"/>
        </w:rPr>
        <w:t>承包人擅自更换主要施工管理人员的违约责任：</w:t>
      </w:r>
      <w:r>
        <w:rPr>
          <w:rFonts w:ascii="Verdana" w:eastAsia="仿宋_GB2312"/>
          <w:sz w:val="24"/>
          <w:szCs w:val="24"/>
          <w:u w:val="single"/>
        </w:rPr>
        <w:t>特殊情况经发包人及建设行政主管部门书面同意后方可更换；未经批准承包人擅自更换主要施工管理人员（包括中标主要施工管理人员只是挂名，一周有两个工作日（或两个月累计</w:t>
      </w:r>
      <w:r>
        <w:rPr>
          <w:rFonts w:ascii="Verdana" w:hAnsi="Verdana" w:eastAsia="仿宋_GB2312"/>
          <w:sz w:val="24"/>
          <w:szCs w:val="24"/>
          <w:u w:val="single"/>
        </w:rPr>
        <w:t xml:space="preserve"> 10 </w:t>
      </w:r>
      <w:r>
        <w:rPr>
          <w:rFonts w:ascii="Verdana" w:eastAsia="仿宋_GB2312"/>
          <w:sz w:val="24"/>
          <w:szCs w:val="24"/>
          <w:u w:val="single"/>
        </w:rPr>
        <w:t>天）无故不在现场或两个月缺席例会三次或全部主要施工管理人员在岗率一个月累计不足</w:t>
      </w:r>
      <w:r>
        <w:rPr>
          <w:rFonts w:ascii="Verdana" w:hAnsi="Verdana" w:eastAsia="仿宋_GB2312"/>
          <w:sz w:val="24"/>
          <w:szCs w:val="24"/>
          <w:u w:val="single"/>
        </w:rPr>
        <w:t xml:space="preserve"> 50%</w:t>
      </w:r>
      <w:r>
        <w:rPr>
          <w:rFonts w:ascii="Verdana" w:eastAsia="仿宋_GB2312"/>
          <w:sz w:val="24"/>
          <w:szCs w:val="24"/>
          <w:u w:val="single"/>
        </w:rPr>
        <w:t>）的，承包人应向发包人支付违约金人民币</w:t>
      </w:r>
      <w:r>
        <w:rPr>
          <w:rFonts w:ascii="Verdana" w:hAnsi="Verdana" w:eastAsia="仿宋_GB2312"/>
          <w:sz w:val="24"/>
          <w:szCs w:val="24"/>
          <w:u w:val="single"/>
        </w:rPr>
        <w:t xml:space="preserve">2000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人次，并且发包人有权要求承包人停工整顿，停工期间造成的一切损失由承包人承担，发包人并将此行为上报当地建设行政主管部门；情节严重的发包人有权单方解除合同，同时承包人还应赔偿给发包人造成的全部经济损失</w:t>
      </w:r>
      <w:r>
        <w:rPr>
          <w:rFonts w:ascii="Verdana" w:eastAsia="仿宋_GB2312"/>
          <w:sz w:val="24"/>
          <w:szCs w:val="24"/>
        </w:rPr>
        <w:t>。</w:t>
      </w:r>
    </w:p>
    <w:p w14:paraId="50109FE8">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承包人主要施工管理人员擅自离开施工现场的违约责任：</w:t>
      </w:r>
      <w:r>
        <w:rPr>
          <w:rFonts w:ascii="Verdana" w:eastAsia="仿宋_GB2312"/>
          <w:sz w:val="24"/>
          <w:szCs w:val="24"/>
          <w:u w:val="single"/>
        </w:rPr>
        <w:t>发包人代表和监理工程师将随时检查主要施工管理人员的出勤情况；凡无故缺席一天或无故缺席一次例会，由承包人向发包人支付违约金人民币</w:t>
      </w:r>
      <w:r>
        <w:rPr>
          <w:rFonts w:ascii="Verdana" w:hAnsi="Verdana" w:eastAsia="仿宋_GB2312"/>
          <w:sz w:val="24"/>
          <w:szCs w:val="24"/>
          <w:u w:val="single"/>
        </w:rPr>
        <w:t xml:space="preserve"> 500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人次；如一周有两个工作日（或两个月累计</w:t>
      </w:r>
      <w:r>
        <w:rPr>
          <w:rFonts w:ascii="Verdana" w:hAnsi="Verdana" w:eastAsia="仿宋_GB2312"/>
          <w:sz w:val="24"/>
          <w:szCs w:val="24"/>
          <w:u w:val="single"/>
        </w:rPr>
        <w:t xml:space="preserve"> 10 </w:t>
      </w:r>
      <w:r>
        <w:rPr>
          <w:rFonts w:ascii="Verdana" w:eastAsia="仿宋_GB2312"/>
          <w:sz w:val="24"/>
          <w:szCs w:val="24"/>
          <w:u w:val="single"/>
        </w:rPr>
        <w:t>天）无故不在现场或两个月缺席例会三次或全部主要施工管理人员在岗率一个月累计不足</w:t>
      </w:r>
      <w:r>
        <w:rPr>
          <w:rFonts w:ascii="Verdana" w:hAnsi="Verdana" w:eastAsia="仿宋_GB2312"/>
          <w:sz w:val="24"/>
          <w:szCs w:val="24"/>
          <w:u w:val="single"/>
        </w:rPr>
        <w:t xml:space="preserve"> 50%</w:t>
      </w:r>
      <w:r>
        <w:rPr>
          <w:rFonts w:ascii="Verdana" w:eastAsia="仿宋_GB2312"/>
          <w:sz w:val="24"/>
          <w:szCs w:val="24"/>
          <w:u w:val="single"/>
        </w:rPr>
        <w:t>，为严重违约，发包人有权要求承包人停工整顿并更换该类管理人员，停工及更换人员期间造成的一切损失由承包人承担，并且承包人需向发包人支付违约金人民币</w:t>
      </w:r>
      <w:r>
        <w:rPr>
          <w:rFonts w:ascii="Verdana" w:hAnsi="Verdana" w:eastAsia="仿宋_GB2312"/>
          <w:sz w:val="24"/>
          <w:szCs w:val="24"/>
          <w:u w:val="single"/>
        </w:rPr>
        <w:t xml:space="preserve"> 2000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人次，更换的人员资历、能力、条件、业绩、信誉等必须不低于原岗位人员并且必须得到发包人的批准；情节严重的发包人有权单方解除合同，同时承包人还应赔偿给发包人造成的全部经济损失</w:t>
      </w:r>
      <w:r>
        <w:rPr>
          <w:rFonts w:ascii="Verdana" w:eastAsia="仿宋_GB2312"/>
          <w:sz w:val="24"/>
          <w:szCs w:val="24"/>
        </w:rPr>
        <w:t>。</w:t>
      </w:r>
    </w:p>
    <w:p w14:paraId="7F9179FD">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3</w:t>
      </w:r>
      <w:bookmarkStart w:id="76" w:name="_Toc297123492"/>
      <w:bookmarkStart w:id="77" w:name="_Toc292559869"/>
      <w:bookmarkStart w:id="78" w:name="_Toc297120459"/>
      <w:bookmarkStart w:id="79" w:name="_Toc296891199"/>
      <w:bookmarkStart w:id="80" w:name="_Toc300934945"/>
      <w:bookmarkStart w:id="81" w:name="_Toc296890987"/>
      <w:bookmarkStart w:id="82" w:name="_Toc303539102"/>
      <w:bookmarkStart w:id="83" w:name="_Toc292559364"/>
      <w:bookmarkStart w:id="84" w:name="_Toc297048345"/>
      <w:bookmarkStart w:id="85" w:name="_Toc296347158"/>
      <w:bookmarkStart w:id="86" w:name="_Toc296503159"/>
      <w:bookmarkStart w:id="87" w:name="_Toc304295523"/>
      <w:bookmarkStart w:id="88" w:name="_Toc312677988"/>
      <w:bookmarkStart w:id="89" w:name="_Toc296944498"/>
      <w:bookmarkStart w:id="90" w:name="_Toc296346660"/>
      <w:bookmarkStart w:id="91" w:name="_Toc297216151"/>
      <w:r>
        <w:rPr>
          <w:rFonts w:ascii="Verdana" w:hAnsi="Verdana" w:eastAsia="黑体"/>
          <w:sz w:val="24"/>
          <w:szCs w:val="24"/>
        </w:rPr>
        <w:t xml:space="preserve">.5 </w:t>
      </w:r>
      <w:r>
        <w:rPr>
          <w:rFonts w:ascii="Verdana" w:eastAsia="黑体"/>
          <w:sz w:val="24"/>
          <w:szCs w:val="24"/>
        </w:rPr>
        <w:t>分包</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Toc312677989"/>
      <w:bookmarkStart w:id="93" w:name="_Toc303539103"/>
      <w:bookmarkStart w:id="94" w:name="_Toc292559365"/>
      <w:bookmarkStart w:id="95" w:name="_Toc296347159"/>
      <w:bookmarkStart w:id="96" w:name="_Toc292559870"/>
      <w:bookmarkStart w:id="97" w:name="_Toc304295524"/>
      <w:bookmarkStart w:id="98" w:name="_Toc296890988"/>
      <w:bookmarkStart w:id="99" w:name="_Toc318581158"/>
      <w:bookmarkStart w:id="100" w:name="_Toc297048346"/>
      <w:bookmarkStart w:id="101" w:name="_Toc296346661"/>
      <w:bookmarkStart w:id="102" w:name="_Toc297216152"/>
      <w:bookmarkStart w:id="103" w:name="_Toc297123493"/>
      <w:bookmarkStart w:id="104" w:name="_Toc296891200"/>
      <w:bookmarkStart w:id="105" w:name="_Toc297120460"/>
      <w:bookmarkStart w:id="106" w:name="_Toc296944499"/>
      <w:bookmarkStart w:id="107" w:name="_Toc300934946"/>
      <w:bookmarkStart w:id="108" w:name="_Toc296503160"/>
      <w:r>
        <w:rPr>
          <w:rFonts w:ascii="Verdana" w:eastAsia="黑体"/>
          <w:sz w:val="24"/>
          <w:szCs w:val="24"/>
        </w:rPr>
        <w:t>：</w:t>
      </w:r>
      <w:r>
        <w:rPr>
          <w:rFonts w:ascii="Verdana" w:hAnsi="Verdana" w:eastAsia="仿宋_GB2312"/>
          <w:sz w:val="24"/>
          <w:szCs w:val="24"/>
          <w:u w:val="single"/>
        </w:rPr>
        <w:t></w:t>
      </w:r>
      <w:r>
        <w:rPr>
          <w:rFonts w:ascii="Verdana" w:eastAsia="仿宋_GB2312"/>
          <w:sz w:val="24"/>
          <w:szCs w:val="24"/>
          <w:u w:val="single"/>
        </w:rPr>
        <w:t>本工程禁止分包</w:t>
      </w:r>
      <w:r>
        <w:rPr>
          <w:rFonts w:ascii="Verdana" w:eastAsia="仿宋_GB2312"/>
          <w:sz w:val="24"/>
          <w:szCs w:val="24"/>
        </w:rPr>
        <w:t>。</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6EA7DD7B">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3.6 </w:t>
      </w:r>
      <w:r>
        <w:rPr>
          <w:rFonts w:ascii="Verdana" w:eastAsia="黑体"/>
          <w:sz w:val="24"/>
          <w:szCs w:val="24"/>
        </w:rPr>
        <w:t>工程照管与成品、半成品保护</w:t>
      </w:r>
    </w:p>
    <w:p w14:paraId="4DF46193">
      <w:pPr>
        <w:adjustRightInd w:val="0"/>
        <w:snapToGrid w:val="0"/>
        <w:spacing w:before="120" w:after="120" w:line="300" w:lineRule="auto"/>
        <w:ind w:firstLine="480" w:firstLineChars="200"/>
        <w:rPr>
          <w:rFonts w:ascii="Verdana" w:hAnsi="Verdana" w:eastAsia="仿宋_GB2312"/>
          <w:sz w:val="24"/>
          <w:szCs w:val="24"/>
          <w:u w:val="single"/>
        </w:rPr>
      </w:pPr>
      <w:r>
        <w:rPr>
          <w:rFonts w:ascii="Verdana" w:eastAsia="仿宋_GB2312"/>
          <w:sz w:val="24"/>
          <w:szCs w:val="24"/>
        </w:rPr>
        <w:t>承包人负责照管工程及工程相关的材料、工程设备的起始时间：</w:t>
      </w:r>
      <w:r>
        <w:rPr>
          <w:rFonts w:ascii="Verdana" w:eastAsia="仿宋_GB2312"/>
          <w:sz w:val="24"/>
          <w:szCs w:val="24"/>
          <w:u w:val="single"/>
        </w:rPr>
        <w:t>执行通用合同条款</w:t>
      </w:r>
      <w:r>
        <w:rPr>
          <w:rFonts w:ascii="Verdana" w:eastAsia="仿宋_GB2312"/>
          <w:sz w:val="24"/>
          <w:szCs w:val="24"/>
        </w:rPr>
        <w:t>。</w:t>
      </w:r>
    </w:p>
    <w:p w14:paraId="7888F78E">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3.7 </w:t>
      </w:r>
      <w:r>
        <w:rPr>
          <w:rFonts w:ascii="Verdana" w:eastAsia="黑体"/>
          <w:sz w:val="24"/>
          <w:szCs w:val="24"/>
        </w:rPr>
        <w:t>履约担保</w:t>
      </w:r>
    </w:p>
    <w:p w14:paraId="7BEF9CC2">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承包人是否提供履约担保：</w:t>
      </w:r>
      <w:r>
        <w:rPr>
          <w:rFonts w:ascii="Verdana" w:hAnsi="Verdana" w:eastAsia="仿宋_GB2312"/>
          <w:sz w:val="24"/>
          <w:szCs w:val="24"/>
          <w:u w:val="single"/>
        </w:rPr>
        <w:t xml:space="preserve">/ </w:t>
      </w:r>
      <w:r>
        <w:rPr>
          <w:rFonts w:ascii="Verdana" w:eastAsia="仿宋_GB2312"/>
          <w:sz w:val="24"/>
          <w:szCs w:val="24"/>
        </w:rPr>
        <w:t>。</w:t>
      </w:r>
    </w:p>
    <w:p w14:paraId="38E72446">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承包人提供履约担保的形式、金额及期限的：</w:t>
      </w:r>
      <w:r>
        <w:rPr>
          <w:rFonts w:hint="eastAsia" w:ascii="Verdana" w:eastAsia="仿宋_GB2312"/>
          <w:sz w:val="24"/>
          <w:szCs w:val="24"/>
          <w:u w:val="single"/>
        </w:rPr>
        <w:t>签订合同前承包人向发包人提交中标价的10%作为履约保证金</w:t>
      </w:r>
      <w:r>
        <w:rPr>
          <w:rFonts w:ascii="Verdana" w:eastAsia="仿宋_GB2312"/>
          <w:sz w:val="24"/>
          <w:szCs w:val="24"/>
          <w:u w:val="single"/>
        </w:rPr>
        <w:t>（不计利息），承包人应保证履约保证金在工程竣工验收合格前一直有效；发包人将在工程竣工验收合格后，一次性退还承包人以现金交纳的扣除违约金后的履约保证金。如因承包人违约，发包人单方解除合同的，尚未退还的履约保证金，不再返还</w:t>
      </w:r>
      <w:r>
        <w:rPr>
          <w:rFonts w:ascii="Verdana" w:eastAsia="仿宋_GB2312"/>
          <w:sz w:val="24"/>
          <w:szCs w:val="24"/>
        </w:rPr>
        <w:t>。</w:t>
      </w:r>
    </w:p>
    <w:p w14:paraId="7ADC55A2">
      <w:pPr>
        <w:pStyle w:val="5"/>
        <w:adjustRightInd w:val="0"/>
        <w:snapToGrid w:val="0"/>
        <w:spacing w:before="120" w:after="120" w:line="300" w:lineRule="auto"/>
        <w:jc w:val="left"/>
        <w:rPr>
          <w:rFonts w:ascii="Verdana" w:hAnsi="Verdana"/>
          <w:b/>
          <w:sz w:val="24"/>
          <w:szCs w:val="24"/>
        </w:rPr>
      </w:pPr>
      <w:bookmarkStart w:id="109" w:name="_Toc351203636"/>
      <w:r>
        <w:rPr>
          <w:rFonts w:ascii="Verdana" w:hAnsi="Verdana"/>
          <w:sz w:val="24"/>
          <w:szCs w:val="24"/>
        </w:rPr>
        <w:t>4</w:t>
      </w:r>
      <w:bookmarkStart w:id="110" w:name="_Toc296347161"/>
      <w:bookmarkStart w:id="111" w:name="_Toc296944501"/>
      <w:bookmarkStart w:id="112" w:name="_Toc297120462"/>
      <w:bookmarkStart w:id="113" w:name="_Toc292559366"/>
      <w:bookmarkStart w:id="114" w:name="_Toc296346663"/>
      <w:bookmarkStart w:id="115" w:name="_Toc267251413"/>
      <w:bookmarkStart w:id="116" w:name="_Toc296890990"/>
      <w:bookmarkStart w:id="117" w:name="_Toc296891202"/>
      <w:bookmarkStart w:id="118" w:name="_Toc296503162"/>
      <w:bookmarkStart w:id="119" w:name="_Toc297048348"/>
      <w:bookmarkStart w:id="120" w:name="_Toc292559871"/>
      <w:r>
        <w:rPr>
          <w:rFonts w:ascii="Verdana" w:hAnsi="Verdana"/>
          <w:sz w:val="24"/>
          <w:szCs w:val="24"/>
        </w:rPr>
        <w:t xml:space="preserve">. </w:t>
      </w:r>
      <w:r>
        <w:rPr>
          <w:rFonts w:ascii="Verdana"/>
          <w:sz w:val="24"/>
          <w:szCs w:val="24"/>
        </w:rPr>
        <w:t>监</w:t>
      </w:r>
      <w:bookmarkEnd w:id="110"/>
      <w:bookmarkEnd w:id="111"/>
      <w:bookmarkEnd w:id="112"/>
      <w:bookmarkEnd w:id="113"/>
      <w:bookmarkEnd w:id="114"/>
      <w:bookmarkEnd w:id="115"/>
      <w:bookmarkEnd w:id="116"/>
      <w:bookmarkEnd w:id="117"/>
      <w:bookmarkEnd w:id="118"/>
      <w:bookmarkEnd w:id="119"/>
      <w:bookmarkEnd w:id="120"/>
      <w:r>
        <w:rPr>
          <w:rFonts w:ascii="Verdana"/>
          <w:sz w:val="24"/>
          <w:szCs w:val="24"/>
        </w:rPr>
        <w:t>理人</w:t>
      </w:r>
      <w:bookmarkEnd w:id="109"/>
    </w:p>
    <w:p w14:paraId="23C7263D">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4.1</w:t>
      </w:r>
      <w:r>
        <w:rPr>
          <w:rFonts w:ascii="Verdana" w:eastAsia="黑体"/>
          <w:sz w:val="24"/>
          <w:szCs w:val="24"/>
        </w:rPr>
        <w:t>监理人的一般规定</w:t>
      </w:r>
    </w:p>
    <w:p w14:paraId="419674A5">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关于监理人的监理内容：</w:t>
      </w:r>
      <w:r>
        <w:rPr>
          <w:rFonts w:ascii="Verdana" w:eastAsia="仿宋_GB2312"/>
          <w:sz w:val="24"/>
          <w:szCs w:val="24"/>
          <w:u w:val="single"/>
        </w:rPr>
        <w:t>工程质量控制、进度控制、现场安全生产、文明施工管理、造价及合同管理、信息管理和施工现场的组织协调，以及法律法规规章、监理合同和监理规范等文件的相关规定执行</w:t>
      </w:r>
      <w:r>
        <w:rPr>
          <w:rFonts w:ascii="Verdana" w:eastAsia="仿宋_GB2312"/>
          <w:sz w:val="24"/>
          <w:szCs w:val="24"/>
        </w:rPr>
        <w:t>。</w:t>
      </w:r>
    </w:p>
    <w:p w14:paraId="25EA46E0">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关于监理人的监理权限：</w:t>
      </w:r>
      <w:r>
        <w:rPr>
          <w:rFonts w:ascii="Verdana" w:eastAsia="仿宋_GB2312"/>
          <w:sz w:val="24"/>
          <w:szCs w:val="24"/>
          <w:u w:val="single"/>
        </w:rPr>
        <w:t>需要取得发包人批准才能行使的职权包括（</w:t>
      </w:r>
      <w:r>
        <w:rPr>
          <w:rFonts w:ascii="Verdana" w:hAnsi="Verdana" w:eastAsia="仿宋_GB2312"/>
          <w:sz w:val="24"/>
          <w:szCs w:val="24"/>
          <w:u w:val="single"/>
        </w:rPr>
        <w:t>1</w:t>
      </w:r>
      <w:r>
        <w:rPr>
          <w:rFonts w:ascii="Verdana" w:eastAsia="仿宋_GB2312"/>
          <w:sz w:val="24"/>
          <w:szCs w:val="24"/>
          <w:u w:val="single"/>
        </w:rPr>
        <w:t>）对本合同工作内容的任何变更（包括所有设计变更及技术核定单）和签证；（</w:t>
      </w:r>
      <w:r>
        <w:rPr>
          <w:rFonts w:ascii="Verdana" w:hAnsi="Verdana" w:eastAsia="仿宋_GB2312"/>
          <w:sz w:val="24"/>
          <w:szCs w:val="24"/>
          <w:u w:val="single"/>
        </w:rPr>
        <w:t>2</w:t>
      </w:r>
      <w:r>
        <w:rPr>
          <w:rFonts w:ascii="Verdana" w:eastAsia="仿宋_GB2312"/>
          <w:sz w:val="24"/>
          <w:szCs w:val="24"/>
          <w:u w:val="single"/>
        </w:rPr>
        <w:t>）任何涉及工程造价（包括工程进度付款、预付款、变更合同价格、保险）和工程量的确认；（</w:t>
      </w:r>
      <w:r>
        <w:rPr>
          <w:rFonts w:ascii="Verdana" w:hAnsi="Verdana" w:eastAsia="仿宋_GB2312"/>
          <w:sz w:val="24"/>
          <w:szCs w:val="24"/>
          <w:u w:val="single"/>
        </w:rPr>
        <w:t>3</w:t>
      </w:r>
      <w:r>
        <w:rPr>
          <w:rFonts w:ascii="Verdana" w:eastAsia="仿宋_GB2312"/>
          <w:sz w:val="24"/>
          <w:szCs w:val="24"/>
          <w:u w:val="single"/>
        </w:rPr>
        <w:t>）工程标准及质量等级的确认；（</w:t>
      </w:r>
      <w:r>
        <w:rPr>
          <w:rFonts w:ascii="Verdana" w:hAnsi="Verdana" w:eastAsia="仿宋_GB2312"/>
          <w:sz w:val="24"/>
          <w:szCs w:val="24"/>
          <w:u w:val="single"/>
        </w:rPr>
        <w:t>4</w:t>
      </w:r>
      <w:r>
        <w:rPr>
          <w:rFonts w:ascii="Verdana" w:eastAsia="仿宋_GB2312"/>
          <w:sz w:val="24"/>
          <w:szCs w:val="24"/>
          <w:u w:val="single"/>
        </w:rPr>
        <w:t>）工程开工、超出三天以上的停工、超出三天以上的复工、竣工、工期提前、工期顺延、合同进度计划的确认；（</w:t>
      </w:r>
      <w:r>
        <w:rPr>
          <w:rFonts w:ascii="Verdana" w:hAnsi="Verdana" w:eastAsia="仿宋_GB2312"/>
          <w:sz w:val="24"/>
          <w:szCs w:val="24"/>
          <w:u w:val="single"/>
        </w:rPr>
        <w:t>5</w:t>
      </w:r>
      <w:r>
        <w:rPr>
          <w:rFonts w:ascii="Verdana" w:eastAsia="仿宋_GB2312"/>
          <w:sz w:val="24"/>
          <w:szCs w:val="24"/>
          <w:u w:val="single"/>
        </w:rPr>
        <w:t>）工程索赔违约事件的确认；（</w:t>
      </w:r>
      <w:r>
        <w:rPr>
          <w:rFonts w:ascii="Verdana" w:hAnsi="Verdana" w:eastAsia="仿宋_GB2312"/>
          <w:sz w:val="24"/>
          <w:szCs w:val="24"/>
          <w:u w:val="single"/>
        </w:rPr>
        <w:t>6</w:t>
      </w:r>
      <w:r>
        <w:rPr>
          <w:rFonts w:ascii="Verdana" w:eastAsia="仿宋_GB2312"/>
          <w:sz w:val="24"/>
          <w:szCs w:val="24"/>
          <w:u w:val="single"/>
        </w:rPr>
        <w:t>）工程分包的确认；（</w:t>
      </w:r>
      <w:r>
        <w:rPr>
          <w:rFonts w:ascii="Verdana" w:hAnsi="Verdana" w:eastAsia="仿宋_GB2312"/>
          <w:sz w:val="24"/>
          <w:szCs w:val="24"/>
          <w:u w:val="single"/>
        </w:rPr>
        <w:t>7</w:t>
      </w:r>
      <w:r>
        <w:rPr>
          <w:rFonts w:ascii="Verdana" w:eastAsia="仿宋_GB2312"/>
          <w:sz w:val="24"/>
          <w:szCs w:val="24"/>
          <w:u w:val="single"/>
        </w:rPr>
        <w:t>）暂列金额、计日工、暂估价的使用和确认；（</w:t>
      </w:r>
      <w:r>
        <w:rPr>
          <w:rFonts w:ascii="Verdana" w:hAnsi="Verdana" w:eastAsia="仿宋_GB2312"/>
          <w:sz w:val="24"/>
          <w:szCs w:val="24"/>
          <w:u w:val="single"/>
        </w:rPr>
        <w:t>8</w:t>
      </w:r>
      <w:r>
        <w:rPr>
          <w:rFonts w:ascii="Verdana" w:eastAsia="仿宋_GB2312"/>
          <w:sz w:val="24"/>
          <w:szCs w:val="24"/>
          <w:u w:val="single"/>
        </w:rPr>
        <w:t>）特殊施工措施的采用；（</w:t>
      </w:r>
      <w:r>
        <w:rPr>
          <w:rFonts w:ascii="Verdana" w:hAnsi="Verdana" w:eastAsia="仿宋_GB2312"/>
          <w:sz w:val="24"/>
          <w:szCs w:val="24"/>
          <w:u w:val="single"/>
        </w:rPr>
        <w:t>9</w:t>
      </w:r>
      <w:r>
        <w:rPr>
          <w:rFonts w:ascii="Verdana" w:eastAsia="仿宋_GB2312"/>
          <w:sz w:val="24"/>
          <w:szCs w:val="24"/>
          <w:u w:val="single"/>
        </w:rPr>
        <w:t>）材料设备的选用及价格的确定；（</w:t>
      </w:r>
      <w:r>
        <w:rPr>
          <w:rFonts w:ascii="Verdana" w:hAnsi="Verdana" w:eastAsia="仿宋_GB2312"/>
          <w:sz w:val="24"/>
          <w:szCs w:val="24"/>
          <w:u w:val="single"/>
        </w:rPr>
        <w:t>10</w:t>
      </w:r>
      <w:r>
        <w:rPr>
          <w:rFonts w:ascii="Verdana" w:eastAsia="仿宋_GB2312"/>
          <w:sz w:val="24"/>
          <w:szCs w:val="24"/>
          <w:u w:val="single"/>
        </w:rPr>
        <w:t>）缺陷责任期终止证书的签发</w:t>
      </w:r>
      <w:r>
        <w:rPr>
          <w:rFonts w:ascii="Verdana" w:eastAsia="仿宋_GB2312"/>
          <w:sz w:val="24"/>
          <w:szCs w:val="24"/>
        </w:rPr>
        <w:t>。</w:t>
      </w:r>
    </w:p>
    <w:p w14:paraId="1394122A">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rPr>
        <w:t>关于监理人在施工现场的办公场所、生活场所的提供和费用承担的约定：</w:t>
      </w:r>
      <w:r>
        <w:rPr>
          <w:rFonts w:ascii="Verdana" w:eastAsia="仿宋_GB2312"/>
          <w:sz w:val="24"/>
          <w:szCs w:val="24"/>
          <w:u w:val="single"/>
        </w:rPr>
        <w:t>监理人在施工现场合理所需的办公场所、生活场所由承包人提供并承担所发生的费用</w:t>
      </w:r>
      <w:r>
        <w:rPr>
          <w:rFonts w:ascii="Verdana" w:eastAsia="仿宋_GB2312"/>
          <w:sz w:val="24"/>
          <w:szCs w:val="24"/>
        </w:rPr>
        <w:t>。</w:t>
      </w:r>
    </w:p>
    <w:p w14:paraId="41A0A8AD">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4.2 </w:t>
      </w:r>
      <w:r>
        <w:rPr>
          <w:rFonts w:ascii="Verdana" w:eastAsia="黑体"/>
          <w:sz w:val="24"/>
          <w:szCs w:val="24"/>
        </w:rPr>
        <w:t>监理人员</w:t>
      </w:r>
    </w:p>
    <w:p w14:paraId="7A96683D">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总监理工程师：</w:t>
      </w:r>
    </w:p>
    <w:p w14:paraId="2628A109">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姓名：</w:t>
      </w:r>
      <w:r>
        <w:rPr>
          <w:rFonts w:ascii="Verdana" w:hAnsi="Verdana" w:eastAsia="仿宋_GB2312"/>
          <w:sz w:val="24"/>
          <w:szCs w:val="24"/>
          <w:u w:val="single"/>
        </w:rPr>
        <w:t>   </w:t>
      </w:r>
      <w:r>
        <w:rPr>
          <w:rFonts w:ascii="Verdana" w:eastAsia="仿宋_GB2312"/>
          <w:sz w:val="24"/>
          <w:szCs w:val="24"/>
        </w:rPr>
        <w:t>；</w:t>
      </w:r>
    </w:p>
    <w:p w14:paraId="5A91E83F">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职务：</w:t>
      </w:r>
      <w:r>
        <w:rPr>
          <w:rFonts w:ascii="Verdana" w:hAnsi="Verdana" w:eastAsia="仿宋_GB2312"/>
          <w:sz w:val="24"/>
          <w:szCs w:val="24"/>
          <w:u w:val="single"/>
        </w:rPr>
        <w:t>   </w:t>
      </w:r>
      <w:r>
        <w:rPr>
          <w:rFonts w:ascii="Verdana" w:eastAsia="仿宋_GB2312"/>
          <w:sz w:val="24"/>
          <w:szCs w:val="24"/>
        </w:rPr>
        <w:t>；</w:t>
      </w:r>
    </w:p>
    <w:p w14:paraId="36734368">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监理工程师执业资格证书号：</w:t>
      </w:r>
      <w:r>
        <w:rPr>
          <w:rFonts w:ascii="Verdana" w:hAnsi="Verdana" w:eastAsia="仿宋_GB2312"/>
          <w:sz w:val="24"/>
          <w:szCs w:val="24"/>
          <w:u w:val="single"/>
        </w:rPr>
        <w:t> </w:t>
      </w:r>
      <w:r>
        <w:rPr>
          <w:rFonts w:ascii="Verdana" w:eastAsia="仿宋_GB2312"/>
          <w:sz w:val="24"/>
          <w:szCs w:val="24"/>
        </w:rPr>
        <w:t>；</w:t>
      </w:r>
    </w:p>
    <w:p w14:paraId="7B7800D0">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联系电话：</w:t>
      </w:r>
      <w:r>
        <w:rPr>
          <w:rFonts w:ascii="Verdana" w:hAnsi="Verdana" w:eastAsia="仿宋_GB2312"/>
          <w:sz w:val="24"/>
          <w:szCs w:val="24"/>
          <w:u w:val="single"/>
        </w:rPr>
        <w:t>   </w:t>
      </w:r>
      <w:r>
        <w:rPr>
          <w:rFonts w:ascii="Verdana" w:eastAsia="仿宋_GB2312"/>
          <w:sz w:val="24"/>
          <w:szCs w:val="24"/>
        </w:rPr>
        <w:t>；</w:t>
      </w:r>
    </w:p>
    <w:p w14:paraId="28F6903E">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电子信箱：</w:t>
      </w:r>
      <w:r>
        <w:rPr>
          <w:rFonts w:ascii="Verdana" w:hAnsi="Verdana" w:eastAsia="仿宋_GB2312"/>
          <w:sz w:val="24"/>
          <w:szCs w:val="24"/>
          <w:u w:val="single"/>
        </w:rPr>
        <w:t>   </w:t>
      </w:r>
      <w:r>
        <w:rPr>
          <w:rFonts w:ascii="Verdana" w:eastAsia="仿宋_GB2312"/>
          <w:sz w:val="24"/>
          <w:szCs w:val="24"/>
        </w:rPr>
        <w:t>；</w:t>
      </w:r>
    </w:p>
    <w:p w14:paraId="04AA48EC">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通信地址：</w:t>
      </w:r>
      <w:r>
        <w:rPr>
          <w:rFonts w:ascii="Verdana" w:hAnsi="Verdana" w:eastAsia="仿宋_GB2312"/>
          <w:sz w:val="24"/>
          <w:szCs w:val="24"/>
          <w:u w:val="single"/>
        </w:rPr>
        <w:t>   </w:t>
      </w:r>
      <w:r>
        <w:rPr>
          <w:rFonts w:ascii="Verdana" w:eastAsia="仿宋_GB2312"/>
          <w:sz w:val="24"/>
          <w:szCs w:val="24"/>
        </w:rPr>
        <w:t>；</w:t>
      </w:r>
    </w:p>
    <w:p w14:paraId="560D67E4">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关于监理人的其他约定：</w:t>
      </w:r>
      <w:r>
        <w:rPr>
          <w:rFonts w:ascii="Verdana" w:hAnsi="Verdana" w:eastAsia="仿宋_GB2312"/>
          <w:sz w:val="24"/>
          <w:szCs w:val="24"/>
          <w:u w:val="single"/>
        </w:rPr>
        <w:t>   </w:t>
      </w:r>
      <w:r>
        <w:rPr>
          <w:rFonts w:ascii="Verdana" w:eastAsia="仿宋_GB2312"/>
          <w:sz w:val="24"/>
          <w:szCs w:val="24"/>
        </w:rPr>
        <w:t>。</w:t>
      </w:r>
    </w:p>
    <w:p w14:paraId="68740EC2">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 xml:space="preserve">4.4 </w:t>
      </w:r>
      <w:r>
        <w:rPr>
          <w:rFonts w:ascii="Verdana" w:eastAsia="黑体"/>
          <w:sz w:val="24"/>
          <w:szCs w:val="24"/>
        </w:rPr>
        <w:t>商定或确定</w:t>
      </w:r>
    </w:p>
    <w:p w14:paraId="31B0039C">
      <w:pPr>
        <w:adjustRightInd w:val="0"/>
        <w:snapToGrid w:val="0"/>
        <w:spacing w:line="300" w:lineRule="auto"/>
        <w:ind w:firstLine="480" w:firstLineChars="200"/>
        <w:rPr>
          <w:rFonts w:ascii="Verdana" w:hAnsi="Verdana" w:eastAsia="仿宋_GB2312"/>
          <w:sz w:val="24"/>
          <w:szCs w:val="24"/>
        </w:rPr>
      </w:pPr>
      <w:bookmarkStart w:id="121" w:name="_Toc267251418"/>
      <w:r>
        <w:rPr>
          <w:rFonts w:ascii="Verdana" w:eastAsia="仿宋_GB2312"/>
          <w:sz w:val="24"/>
          <w:szCs w:val="24"/>
        </w:rPr>
        <w:t>在发包人和承包人不能通过协商达成一致意见时，发包人授权监理人对以下事项进行确定：</w:t>
      </w:r>
    </w:p>
    <w:p w14:paraId="2779F59C">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w:t>
      </w:r>
      <w:r>
        <w:rPr>
          <w:rFonts w:ascii="Verdana" w:hAnsi="Verdana" w:eastAsia="仿宋_GB2312"/>
          <w:sz w:val="24"/>
          <w:szCs w:val="24"/>
        </w:rPr>
        <w:t>1</w:t>
      </w:r>
      <w:r>
        <w:rPr>
          <w:rFonts w:ascii="Verdana" w:eastAsia="仿宋_GB2312"/>
          <w:sz w:val="24"/>
          <w:szCs w:val="24"/>
        </w:rPr>
        <w:t>）</w:t>
      </w:r>
      <w:r>
        <w:rPr>
          <w:rFonts w:ascii="Verdana" w:hAnsi="Verdana" w:eastAsia="仿宋_GB2312"/>
          <w:sz w:val="24"/>
          <w:szCs w:val="24"/>
          <w:u w:val="single"/>
        </w:rPr>
        <w:t xml:space="preserve">                               </w:t>
      </w:r>
      <w:r>
        <w:rPr>
          <w:rFonts w:ascii="Verdana" w:eastAsia="仿宋_GB2312"/>
          <w:sz w:val="24"/>
          <w:szCs w:val="24"/>
        </w:rPr>
        <w:t>；</w:t>
      </w:r>
    </w:p>
    <w:p w14:paraId="5E8176D8">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w:t>
      </w:r>
      <w:r>
        <w:rPr>
          <w:rFonts w:ascii="Verdana" w:hAnsi="Verdana" w:eastAsia="仿宋_GB2312"/>
          <w:sz w:val="24"/>
          <w:szCs w:val="24"/>
        </w:rPr>
        <w:t>2</w:t>
      </w:r>
      <w:r>
        <w:rPr>
          <w:rFonts w:ascii="Verdana" w:eastAsia="仿宋_GB2312"/>
          <w:sz w:val="24"/>
          <w:szCs w:val="24"/>
        </w:rPr>
        <w:t>）</w:t>
      </w:r>
      <w:r>
        <w:rPr>
          <w:rFonts w:ascii="Verdana" w:hAnsi="Verdana" w:eastAsia="仿宋_GB2312"/>
          <w:sz w:val="24"/>
          <w:szCs w:val="24"/>
          <w:u w:val="single"/>
        </w:rPr>
        <w:t xml:space="preserve">                               </w:t>
      </w:r>
      <w:r>
        <w:rPr>
          <w:rFonts w:ascii="Verdana" w:eastAsia="仿宋_GB2312"/>
          <w:sz w:val="24"/>
          <w:szCs w:val="24"/>
        </w:rPr>
        <w:t>；</w:t>
      </w:r>
    </w:p>
    <w:p w14:paraId="57E90C8F">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w:t>
      </w:r>
      <w:r>
        <w:rPr>
          <w:rFonts w:ascii="Verdana" w:hAnsi="Verdana" w:eastAsia="仿宋_GB2312"/>
          <w:sz w:val="24"/>
          <w:szCs w:val="24"/>
        </w:rPr>
        <w:t>3</w:t>
      </w:r>
      <w:r>
        <w:rPr>
          <w:rFonts w:ascii="Verdana" w:eastAsia="仿宋_GB2312"/>
          <w:sz w:val="24"/>
          <w:szCs w:val="24"/>
        </w:rPr>
        <w:t>）</w:t>
      </w:r>
      <w:r>
        <w:rPr>
          <w:rFonts w:ascii="Verdana" w:hAnsi="Verdana" w:eastAsia="仿宋_GB2312"/>
          <w:sz w:val="24"/>
          <w:szCs w:val="24"/>
          <w:u w:val="single"/>
        </w:rPr>
        <w:t xml:space="preserve">                               </w:t>
      </w:r>
      <w:r>
        <w:rPr>
          <w:rFonts w:ascii="Verdana" w:eastAsia="仿宋_GB2312"/>
          <w:sz w:val="24"/>
          <w:szCs w:val="24"/>
        </w:rPr>
        <w:t>。</w:t>
      </w:r>
    </w:p>
    <w:p w14:paraId="6B323E1E">
      <w:pPr>
        <w:pStyle w:val="5"/>
        <w:adjustRightInd w:val="0"/>
        <w:snapToGrid w:val="0"/>
        <w:spacing w:before="120" w:after="120" w:line="300" w:lineRule="auto"/>
        <w:jc w:val="left"/>
        <w:rPr>
          <w:rFonts w:ascii="Verdana" w:hAnsi="Verdana"/>
          <w:b/>
          <w:sz w:val="24"/>
          <w:szCs w:val="24"/>
        </w:rPr>
      </w:pPr>
      <w:bookmarkStart w:id="122" w:name="_Toc351203637"/>
      <w:r>
        <w:rPr>
          <w:rFonts w:ascii="Verdana" w:hAnsi="Verdana"/>
          <w:sz w:val="24"/>
          <w:szCs w:val="24"/>
        </w:rPr>
        <w:t>5</w:t>
      </w:r>
      <w:bookmarkEnd w:id="121"/>
      <w:bookmarkStart w:id="123" w:name="_Toc296891203"/>
      <w:bookmarkStart w:id="124" w:name="_Toc296347162"/>
      <w:bookmarkStart w:id="125" w:name="_Toc297048349"/>
      <w:bookmarkStart w:id="126" w:name="_Toc292559367"/>
      <w:bookmarkStart w:id="127" w:name="_Toc297120463"/>
      <w:bookmarkStart w:id="128" w:name="_Toc296944502"/>
      <w:bookmarkStart w:id="129" w:name="_Toc296346664"/>
      <w:bookmarkStart w:id="130" w:name="_Toc296890991"/>
      <w:bookmarkStart w:id="131" w:name="_Toc292559872"/>
      <w:bookmarkStart w:id="132" w:name="_Toc296503163"/>
      <w:r>
        <w:rPr>
          <w:rFonts w:ascii="Verdana" w:hAnsi="Verdana"/>
          <w:sz w:val="24"/>
          <w:szCs w:val="24"/>
        </w:rPr>
        <w:t xml:space="preserve">. </w:t>
      </w:r>
      <w:r>
        <w:rPr>
          <w:rFonts w:ascii="Verdana"/>
          <w:sz w:val="24"/>
          <w:szCs w:val="24"/>
        </w:rPr>
        <w:t>工程质量</w:t>
      </w:r>
      <w:bookmarkEnd w:id="122"/>
    </w:p>
    <w:p w14:paraId="0622FE68">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5.1 </w:t>
      </w:r>
      <w:r>
        <w:rPr>
          <w:rFonts w:ascii="Verdana" w:eastAsia="黑体"/>
          <w:sz w:val="24"/>
          <w:szCs w:val="24"/>
        </w:rPr>
        <w:t>质量要求</w:t>
      </w:r>
    </w:p>
    <w:p w14:paraId="629C2697">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5</w:t>
      </w:r>
      <w:bookmarkStart w:id="133" w:name="_Toc297123496"/>
      <w:bookmarkStart w:id="134" w:name="_Toc318581164"/>
      <w:bookmarkStart w:id="135" w:name="_Toc297216155"/>
      <w:bookmarkStart w:id="136" w:name="_Toc300934949"/>
      <w:bookmarkStart w:id="137" w:name="_Toc312677997"/>
      <w:bookmarkStart w:id="138" w:name="_Toc303539106"/>
      <w:bookmarkStart w:id="139" w:name="_Toc304295527"/>
      <w:r>
        <w:rPr>
          <w:rFonts w:ascii="Verdana" w:hAnsi="Verdana" w:eastAsia="仿宋_GB2312"/>
          <w:sz w:val="24"/>
          <w:szCs w:val="24"/>
        </w:rPr>
        <w:t xml:space="preserve">.1.1 </w:t>
      </w:r>
      <w:r>
        <w:rPr>
          <w:rFonts w:ascii="Verdana" w:eastAsia="仿宋_GB2312"/>
          <w:sz w:val="24"/>
          <w:szCs w:val="24"/>
        </w:rPr>
        <w:t>特殊质量标准和要求：</w:t>
      </w:r>
      <w:r>
        <w:rPr>
          <w:rFonts w:ascii="Verdana" w:eastAsia="仿宋_GB2312"/>
          <w:sz w:val="24"/>
          <w:szCs w:val="24"/>
          <w:u w:val="single"/>
        </w:rPr>
        <w:t>合格</w:t>
      </w:r>
      <w:r>
        <w:rPr>
          <w:rFonts w:ascii="Verdana" w:eastAsia="仿宋_GB2312"/>
          <w:sz w:val="24"/>
          <w:szCs w:val="24"/>
        </w:rPr>
        <w:t>。</w:t>
      </w:r>
    </w:p>
    <w:p w14:paraId="0C101CAE">
      <w:pPr>
        <w:adjustRightInd w:val="0"/>
        <w:snapToGrid w:val="0"/>
        <w:spacing w:line="300" w:lineRule="auto"/>
        <w:ind w:firstLine="480" w:firstLineChars="200"/>
        <w:rPr>
          <w:rFonts w:ascii="Verdana" w:hAnsi="Verdana" w:eastAsia="黑体"/>
          <w:sz w:val="24"/>
          <w:szCs w:val="24"/>
        </w:rPr>
      </w:pPr>
      <w:r>
        <w:rPr>
          <w:rFonts w:ascii="Verdana" w:eastAsia="仿宋_GB2312"/>
          <w:sz w:val="24"/>
          <w:szCs w:val="24"/>
        </w:rPr>
        <w:t>关于工程奖项的约定：</w:t>
      </w:r>
      <w:r>
        <w:rPr>
          <w:rFonts w:ascii="Verdana" w:hAnsi="Verdana" w:eastAsia="仿宋_GB2312"/>
          <w:sz w:val="24"/>
          <w:szCs w:val="24"/>
          <w:u w:val="single"/>
        </w:rPr>
        <w:t xml:space="preserve"> /     </w:t>
      </w:r>
      <w:r>
        <w:rPr>
          <w:rFonts w:ascii="Verdana" w:eastAsia="仿宋_GB2312"/>
          <w:sz w:val="24"/>
          <w:szCs w:val="24"/>
        </w:rPr>
        <w:t>。</w:t>
      </w:r>
    </w:p>
    <w:p w14:paraId="525EE24E">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 xml:space="preserve">5.3 </w:t>
      </w:r>
      <w:r>
        <w:rPr>
          <w:rFonts w:ascii="Verdana" w:eastAsia="黑体"/>
          <w:sz w:val="24"/>
          <w:szCs w:val="24"/>
        </w:rPr>
        <w:t>隐蔽工程检查</w:t>
      </w:r>
    </w:p>
    <w:p w14:paraId="65E396A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5.3.2</w:t>
      </w:r>
      <w:r>
        <w:rPr>
          <w:rFonts w:ascii="Verdana" w:eastAsia="仿宋_GB2312"/>
          <w:sz w:val="24"/>
          <w:szCs w:val="24"/>
        </w:rPr>
        <w:t>承包人提前通知监理人隐蔽工程检查的期限的约定：</w:t>
      </w:r>
      <w:r>
        <w:rPr>
          <w:rFonts w:ascii="Verdana" w:eastAsia="仿宋_GB2312"/>
          <w:sz w:val="24"/>
          <w:szCs w:val="24"/>
          <w:u w:val="single"/>
        </w:rPr>
        <w:t>执行通用合同条款</w:t>
      </w:r>
      <w:r>
        <w:rPr>
          <w:rFonts w:ascii="Verdana" w:eastAsia="仿宋_GB2312"/>
          <w:sz w:val="24"/>
          <w:szCs w:val="24"/>
        </w:rPr>
        <w:t>。</w:t>
      </w:r>
    </w:p>
    <w:p w14:paraId="2170FFA0">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监理人不能按时进行检查时，应提前</w:t>
      </w:r>
      <w:r>
        <w:rPr>
          <w:rFonts w:ascii="Verdana" w:hAnsi="Verdana" w:eastAsia="仿宋_GB2312"/>
          <w:sz w:val="24"/>
          <w:szCs w:val="24"/>
          <w:u w:val="single"/>
        </w:rPr>
        <w:t>24</w:t>
      </w:r>
      <w:r>
        <w:rPr>
          <w:rFonts w:ascii="Verdana" w:eastAsia="仿宋_GB2312"/>
          <w:sz w:val="24"/>
          <w:szCs w:val="24"/>
        </w:rPr>
        <w:t>小时提交书面延期要求。</w:t>
      </w:r>
    </w:p>
    <w:p w14:paraId="2EE281F2">
      <w:pPr>
        <w:adjustRightInd w:val="0"/>
        <w:snapToGrid w:val="0"/>
        <w:spacing w:line="300" w:lineRule="auto"/>
        <w:ind w:firstLine="480" w:firstLineChars="200"/>
        <w:rPr>
          <w:rFonts w:ascii="Verdana" w:hAnsi="Verdana" w:eastAsia="仿宋_GB2312"/>
          <w:sz w:val="24"/>
          <w:szCs w:val="24"/>
        </w:rPr>
      </w:pPr>
      <w:r>
        <w:rPr>
          <w:rFonts w:ascii="Verdana" w:eastAsia="仿宋_GB2312"/>
          <w:sz w:val="24"/>
          <w:szCs w:val="24"/>
        </w:rPr>
        <w:t>关于延期最长不得超过：</w:t>
      </w:r>
      <w:r>
        <w:rPr>
          <w:rFonts w:ascii="Verdana" w:hAnsi="Verdana" w:eastAsia="仿宋_GB2312"/>
          <w:sz w:val="24"/>
          <w:szCs w:val="24"/>
          <w:u w:val="single"/>
        </w:rPr>
        <w:t>48</w:t>
      </w:r>
      <w:r>
        <w:rPr>
          <w:rFonts w:ascii="Verdana" w:eastAsia="仿宋_GB2312"/>
          <w:sz w:val="24"/>
          <w:szCs w:val="24"/>
        </w:rPr>
        <w:t>小时。</w:t>
      </w:r>
    </w:p>
    <w:p w14:paraId="1C5187B1">
      <w:pPr>
        <w:pStyle w:val="5"/>
        <w:adjustRightInd w:val="0"/>
        <w:snapToGrid w:val="0"/>
        <w:spacing w:before="120" w:after="120" w:line="300" w:lineRule="auto"/>
        <w:jc w:val="left"/>
        <w:rPr>
          <w:rFonts w:ascii="Verdana" w:hAnsi="Verdana"/>
          <w:b/>
          <w:sz w:val="24"/>
          <w:szCs w:val="24"/>
        </w:rPr>
      </w:pPr>
      <w:bookmarkStart w:id="140" w:name="_Toc351203638"/>
      <w:r>
        <w:rPr>
          <w:rFonts w:ascii="Verdana" w:hAnsi="Verdana"/>
          <w:sz w:val="24"/>
          <w:szCs w:val="24"/>
        </w:rPr>
        <w:t xml:space="preserve">6. </w:t>
      </w:r>
      <w:r>
        <w:rPr>
          <w:rFonts w:ascii="Verdana"/>
          <w:sz w:val="24"/>
          <w:szCs w:val="24"/>
        </w:rPr>
        <w:t>安全文明施工与环境保护</w:t>
      </w:r>
      <w:bookmarkEnd w:id="140"/>
    </w:p>
    <w:p w14:paraId="6BF26EF6">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6.1</w:t>
      </w:r>
      <w:r>
        <w:rPr>
          <w:rFonts w:ascii="Verdana" w:eastAsia="黑体"/>
          <w:sz w:val="24"/>
          <w:szCs w:val="24"/>
        </w:rPr>
        <w:t>安全文明施工</w:t>
      </w:r>
    </w:p>
    <w:p w14:paraId="4E14F81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 xml:space="preserve">6.1.1 </w:t>
      </w:r>
      <w:r>
        <w:rPr>
          <w:rFonts w:ascii="Verdana" w:eastAsia="仿宋_GB2312"/>
          <w:sz w:val="24"/>
          <w:szCs w:val="24"/>
        </w:rPr>
        <w:t>项目安全生产的达标目标及相应事项的约定：</w:t>
      </w:r>
      <w:r>
        <w:rPr>
          <w:rFonts w:ascii="Verdana" w:eastAsia="仿宋_GB2312"/>
          <w:sz w:val="24"/>
          <w:szCs w:val="24"/>
          <w:u w:val="single"/>
        </w:rPr>
        <w:t>承包人应当遵守工程建设安全生产有关管理规定，严格按安全管理规定组织施工，并随时接受发包人及有权部门监督检查，在承包人施工范围内发生安全生产事故由承包人负责协调处理并承担全部责任。承包人负责为安全检查进行的协调、配合、管理工作等以及自身施工区域与公共区域的安全设施的搭设和维修管理工作，并在开工前向监理人提供有关人员上岗证、施工工器具设备合格证、年审证等证件核验；确保施工安全并承担相关费用；承包人应严格认真执行本协议附件《建设工程承发包安全管理协议》中的有关要求，注重安全保障、安全教育，确保人员安全；承包人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承包人相应进行处罚，责任一律由承包人全部承担；因承包人原因造成安全事故而导致停工，承包人向发包人支付人民币</w:t>
      </w:r>
      <w:r>
        <w:rPr>
          <w:rFonts w:ascii="Verdana" w:hAnsi="Verdana" w:eastAsia="仿宋_GB2312"/>
          <w:sz w:val="24"/>
          <w:szCs w:val="24"/>
          <w:u w:val="single"/>
        </w:rPr>
        <w:t xml:space="preserve"> 2000 </w:t>
      </w:r>
      <w:r>
        <w:rPr>
          <w:rFonts w:ascii="Verdana" w:eastAsia="仿宋_GB2312"/>
          <w:sz w:val="24"/>
          <w:szCs w:val="24"/>
          <w:u w:val="single"/>
        </w:rPr>
        <w:t>元</w:t>
      </w:r>
      <w:r>
        <w:rPr>
          <w:rFonts w:ascii="Verdana" w:hAnsi="Verdana" w:eastAsia="仿宋_GB2312"/>
          <w:sz w:val="24"/>
          <w:szCs w:val="24"/>
          <w:u w:val="single"/>
        </w:rPr>
        <w:t>/</w:t>
      </w:r>
      <w:r>
        <w:rPr>
          <w:rFonts w:ascii="Verdana" w:eastAsia="仿宋_GB2312"/>
          <w:sz w:val="24"/>
          <w:szCs w:val="24"/>
          <w:u w:val="single"/>
        </w:rPr>
        <w:t>天的违约金，且工期不予顺延，同时发包人还保留进一步索赔的权利；无论发包人（或监理人）是否给予了批准或同意，承包人应对现场作业、施工方法及所施工工程的完备性、稳定性和安全性承担全部责任，负责完成对工程的稳定、完整、安全、可靠及有效运行所必需的全部工作</w:t>
      </w:r>
      <w:r>
        <w:rPr>
          <w:rFonts w:ascii="Verdana" w:eastAsia="仿宋_GB2312"/>
          <w:sz w:val="24"/>
          <w:szCs w:val="24"/>
        </w:rPr>
        <w:t>。</w:t>
      </w:r>
    </w:p>
    <w:p w14:paraId="4B4A85CD">
      <w:pPr>
        <w:adjustRightInd w:val="0"/>
        <w:snapToGrid w:val="0"/>
        <w:spacing w:line="300" w:lineRule="auto"/>
        <w:ind w:firstLine="480" w:firstLineChars="200"/>
        <w:rPr>
          <w:rFonts w:ascii="Verdana" w:hAnsi="Verdana" w:eastAsia="仿宋_GB2312"/>
          <w:sz w:val="24"/>
          <w:szCs w:val="24"/>
          <w:u w:val="single"/>
        </w:rPr>
      </w:pPr>
      <w:r>
        <w:rPr>
          <w:rFonts w:ascii="Verdana" w:eastAsia="仿宋_GB2312"/>
          <w:sz w:val="24"/>
          <w:szCs w:val="24"/>
          <w:u w:val="single"/>
        </w:rPr>
        <w:t>在施工中不得危及道路周边环境安全（特别是注意不要危及周围农作物、土壤及水源安全），由此造成的损失和责任由承包人全部负责，并且保证发包人免于承担由于这种破环和污染而产生的一切索赔和罚款。</w:t>
      </w:r>
    </w:p>
    <w:p w14:paraId="0D1573D9">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6.1.4 关于治安保卫的特别约定：</w:t>
      </w:r>
      <w:r>
        <w:rPr>
          <w:rFonts w:ascii="Verdana" w:hAnsi="Verdana" w:eastAsia="仿宋_GB2312"/>
          <w:sz w:val="24"/>
          <w:szCs w:val="24"/>
          <w:u w:val="single"/>
        </w:rPr>
        <w:t>在整个合同实施过程中，排污、环保、市容、城建、城管、占道、治安、消防、施工噪音和人口管理等相关手续和对临近居民（居民方面主要指夜间施工噪音方面）及行人的影响由承包人负责协调处理，有效防止影响社会安定的群体性事件发生，并就工程施工现场设立围护设施、照明设施、防护设施、警示标志、宣传标语等作出具体安排并承担相应责任；同时承包人应对工程施工现场所有单位人员的安全及第三方人身财产安全、现场秩序、工程保护、环境保护等负责，并按照国家、江苏省和扬州市有关规定及现场实际情况做好施工现场的安全防卫及非夜间施工照明工作；相关费用及因承包人原因造成的罚款均由承包人承担，施工期间发生的该类一切费用发包人不予补偿</w:t>
      </w:r>
      <w:r>
        <w:rPr>
          <w:rFonts w:ascii="Verdana" w:hAnsi="Verdana" w:eastAsia="仿宋_GB2312"/>
          <w:sz w:val="24"/>
          <w:szCs w:val="24"/>
        </w:rPr>
        <w:t>。</w:t>
      </w:r>
    </w:p>
    <w:p w14:paraId="3E0C34C1">
      <w:pPr>
        <w:adjustRightInd w:val="0"/>
        <w:snapToGrid w:val="0"/>
        <w:spacing w:line="300" w:lineRule="auto"/>
        <w:ind w:left="479" w:leftChars="228"/>
        <w:rPr>
          <w:rFonts w:ascii="Verdana" w:hAnsi="Verdana" w:eastAsia="仿宋_GB2312"/>
          <w:sz w:val="24"/>
          <w:szCs w:val="24"/>
          <w:u w:val="single"/>
        </w:rPr>
      </w:pPr>
      <w:r>
        <w:rPr>
          <w:rFonts w:ascii="Verdana" w:hAnsi="Verdana" w:eastAsia="仿宋_GB2312"/>
          <w:sz w:val="24"/>
          <w:szCs w:val="24"/>
        </w:rPr>
        <w:t>关于编制施工场地治安管理计划的约定：</w:t>
      </w:r>
      <w:r>
        <w:rPr>
          <w:rFonts w:ascii="Verdana" w:hAnsi="Verdana" w:eastAsia="仿宋_GB2312"/>
          <w:sz w:val="24"/>
          <w:szCs w:val="24"/>
          <w:u w:val="single"/>
        </w:rPr>
        <w:t>执行通用合同条款</w:t>
      </w:r>
    </w:p>
    <w:p w14:paraId="2047C621">
      <w:pPr>
        <w:adjustRightInd w:val="0"/>
        <w:snapToGrid w:val="0"/>
        <w:spacing w:line="300" w:lineRule="auto"/>
        <w:ind w:left="479" w:leftChars="228"/>
        <w:rPr>
          <w:rFonts w:ascii="Verdana" w:hAnsi="Verdana" w:eastAsia="仿宋_GB2312"/>
          <w:sz w:val="24"/>
          <w:szCs w:val="24"/>
        </w:rPr>
      </w:pPr>
      <w:r>
        <w:rPr>
          <w:rFonts w:ascii="Verdana" w:hAnsi="Verdana" w:eastAsia="仿宋_GB2312"/>
          <w:sz w:val="24"/>
          <w:szCs w:val="24"/>
        </w:rPr>
        <w:t>6.1.5 文明施工</w:t>
      </w:r>
    </w:p>
    <w:p w14:paraId="255F7BB4">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合同当事人对文明施工的要求：</w:t>
      </w:r>
      <w:r>
        <w:rPr>
          <w:rFonts w:ascii="Verdana" w:hAnsi="Verdana" w:eastAsia="仿宋_GB2312"/>
          <w:sz w:val="24"/>
          <w:szCs w:val="24"/>
          <w:u w:val="single"/>
        </w:rPr>
        <w:t>承包人在工程施工期间，应当采取措施保持施工现场平整，物料堆放整齐。工程所在地有关政府行政管理部门有特殊要求的，按照其要求执行。合同当事人对文明施工有其他要求的，可以在专用合同条款中明确。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r>
        <w:rPr>
          <w:rFonts w:ascii="Verdana" w:hAnsi="Verdana" w:eastAsia="仿宋_GB2312"/>
          <w:sz w:val="24"/>
          <w:szCs w:val="24"/>
        </w:rPr>
        <w:t>。</w:t>
      </w:r>
    </w:p>
    <w:p w14:paraId="60DF0BC5">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6.1.6 关于安全文明施工费支付比例和支付期限的约定：</w:t>
      </w:r>
      <w:r>
        <w:rPr>
          <w:rFonts w:ascii="Verdana" w:hAnsi="Verdana" w:eastAsia="仿宋_GB2312"/>
          <w:sz w:val="24"/>
          <w:szCs w:val="24"/>
          <w:u w:val="single"/>
        </w:rPr>
        <w:t>纳入合同总价按照本专用合同条款第 12.4.1 项约定的付款周期同比例同期支付</w:t>
      </w:r>
      <w:r>
        <w:rPr>
          <w:rFonts w:ascii="Verdana" w:hAnsi="Verdana" w:eastAsia="仿宋_GB2312"/>
          <w:sz w:val="24"/>
          <w:szCs w:val="24"/>
        </w:rPr>
        <w:t>。</w:t>
      </w:r>
    </w:p>
    <w:bookmarkEnd w:id="133"/>
    <w:bookmarkEnd w:id="134"/>
    <w:bookmarkEnd w:id="135"/>
    <w:bookmarkEnd w:id="136"/>
    <w:bookmarkEnd w:id="137"/>
    <w:bookmarkEnd w:id="138"/>
    <w:bookmarkEnd w:id="139"/>
    <w:p w14:paraId="3BF2DD22">
      <w:pPr>
        <w:pStyle w:val="5"/>
        <w:adjustRightInd w:val="0"/>
        <w:snapToGrid w:val="0"/>
        <w:spacing w:before="120" w:after="120" w:line="300" w:lineRule="auto"/>
        <w:jc w:val="left"/>
        <w:rPr>
          <w:rFonts w:ascii="Verdana" w:hAnsi="Verdana"/>
          <w:b/>
          <w:sz w:val="24"/>
          <w:szCs w:val="24"/>
        </w:rPr>
      </w:pPr>
      <w:bookmarkStart w:id="141" w:name="_Toc351203639"/>
      <w:r>
        <w:rPr>
          <w:rFonts w:ascii="Verdana" w:hAnsi="Verdana"/>
          <w:sz w:val="24"/>
          <w:szCs w:val="24"/>
        </w:rPr>
        <w:t>7. 工期和进度</w:t>
      </w:r>
      <w:bookmarkEnd w:id="141"/>
    </w:p>
    <w:p w14:paraId="3CAAFEB0">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7.1 施工组织设计</w:t>
      </w:r>
    </w:p>
    <w:p w14:paraId="4E7C3A21">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7.1.1 合同当事人约定的施工组织设计应包括的其他内容：</w:t>
      </w:r>
      <w:r>
        <w:rPr>
          <w:rFonts w:ascii="Verdana" w:hAnsi="Verdana" w:eastAsia="仿宋_GB2312"/>
          <w:sz w:val="24"/>
          <w:szCs w:val="24"/>
          <w:u w:val="single"/>
        </w:rPr>
        <w:t>发包人和监理人要求</w:t>
      </w:r>
      <w:r>
        <w:rPr>
          <w:rFonts w:ascii="Verdana" w:hAnsi="Verdana" w:eastAsia="仿宋_GB2312"/>
          <w:sz w:val="24"/>
          <w:szCs w:val="24"/>
        </w:rPr>
        <w:t>。</w:t>
      </w:r>
    </w:p>
    <w:p w14:paraId="6D029D4C">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7.1.2 施工组织设计的提交和修改</w:t>
      </w:r>
    </w:p>
    <w:p w14:paraId="79BB3071">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承包人提交详细施工组织设计的期限的约定：</w:t>
      </w:r>
      <w:r>
        <w:rPr>
          <w:rFonts w:ascii="Verdana" w:hAnsi="Verdana" w:eastAsia="仿宋_GB2312"/>
          <w:sz w:val="24"/>
          <w:szCs w:val="24"/>
          <w:u w:val="single"/>
        </w:rPr>
        <w:t>执行通用合同条款</w:t>
      </w:r>
      <w:r>
        <w:rPr>
          <w:rFonts w:ascii="Verdana" w:hAnsi="Verdana" w:eastAsia="仿宋_GB2312"/>
          <w:sz w:val="24"/>
          <w:szCs w:val="24"/>
        </w:rPr>
        <w:t>。</w:t>
      </w:r>
    </w:p>
    <w:p w14:paraId="26EFD84E">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发包人和监理人在收到详细的施工组织设计后确认或提出修改意见的期限：</w:t>
      </w:r>
      <w:r>
        <w:rPr>
          <w:rFonts w:ascii="Verdana" w:hAnsi="Verdana" w:eastAsia="仿宋_GB2312"/>
          <w:sz w:val="24"/>
          <w:szCs w:val="24"/>
          <w:u w:val="single"/>
        </w:rPr>
        <w:t>双方另行约定</w:t>
      </w:r>
      <w:r>
        <w:rPr>
          <w:rFonts w:ascii="Verdana" w:hAnsi="Verdana" w:eastAsia="仿宋_GB2312"/>
          <w:sz w:val="24"/>
          <w:szCs w:val="24"/>
        </w:rPr>
        <w:t>。</w:t>
      </w:r>
    </w:p>
    <w:p w14:paraId="484AA1D4">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w:t>
      </w:r>
      <w:bookmarkStart w:id="142" w:name="_Toc312677479"/>
      <w:bookmarkStart w:id="143" w:name="_Toc304295541"/>
      <w:bookmarkStart w:id="144" w:name="_Toc312678005"/>
      <w:bookmarkStart w:id="145" w:name="_Toc303539123"/>
      <w:bookmarkStart w:id="146" w:name="_Toc300934966"/>
      <w:bookmarkStart w:id="147" w:name="_Toc297216173"/>
      <w:bookmarkStart w:id="148" w:name="_Toc297123514"/>
      <w:r>
        <w:rPr>
          <w:rFonts w:ascii="Verdana" w:hAnsi="Verdana" w:eastAsia="黑体"/>
          <w:sz w:val="24"/>
          <w:szCs w:val="24"/>
        </w:rPr>
        <w:t>.2 施工进度计划</w:t>
      </w:r>
    </w:p>
    <w:p w14:paraId="7DE0AA8E">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7.2.2 施工进度计划的修订</w:t>
      </w:r>
    </w:p>
    <w:p w14:paraId="5F759B4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发包人和监理人在收到修订的施工进度计划后确认或提出修改意见的期限：</w:t>
      </w:r>
      <w:r>
        <w:rPr>
          <w:rFonts w:ascii="Verdana" w:hAnsi="Verdana" w:eastAsia="仿宋_GB2312"/>
          <w:sz w:val="24"/>
          <w:szCs w:val="24"/>
          <w:u w:val="single"/>
        </w:rPr>
        <w:t>双方另行约定</w:t>
      </w:r>
      <w:r>
        <w:rPr>
          <w:rFonts w:ascii="Verdana" w:hAnsi="Verdana" w:eastAsia="仿宋_GB2312"/>
          <w:sz w:val="24"/>
          <w:szCs w:val="24"/>
        </w:rPr>
        <w:t>。</w:t>
      </w:r>
    </w:p>
    <w:p w14:paraId="6E6F8549">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7.3 开工</w:t>
      </w:r>
    </w:p>
    <w:p w14:paraId="396FE33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7.3.1 开工准备</w:t>
      </w:r>
    </w:p>
    <w:p w14:paraId="49C2182B">
      <w:pPr>
        <w:adjustRightInd w:val="0"/>
        <w:snapToGrid w:val="0"/>
        <w:spacing w:line="300" w:lineRule="auto"/>
        <w:ind w:firstLine="645"/>
        <w:rPr>
          <w:rFonts w:ascii="Verdana" w:hAnsi="Verdana" w:eastAsia="仿宋_GB2312"/>
          <w:sz w:val="24"/>
          <w:szCs w:val="24"/>
          <w:u w:val="single"/>
        </w:rPr>
      </w:pPr>
      <w:r>
        <w:rPr>
          <w:rFonts w:ascii="Verdana" w:hAnsi="Verdana" w:eastAsia="仿宋_GB2312"/>
          <w:sz w:val="24"/>
          <w:szCs w:val="24"/>
        </w:rPr>
        <w:t>关于承包人提交工程开工报审表的期限：</w:t>
      </w:r>
      <w:r>
        <w:rPr>
          <w:rFonts w:ascii="Verdana" w:hAnsi="Verdana" w:eastAsia="仿宋_GB2312"/>
          <w:sz w:val="24"/>
          <w:szCs w:val="24"/>
          <w:u w:val="single"/>
        </w:rPr>
        <w:t>执行通用合同条款</w:t>
      </w:r>
      <w:r>
        <w:rPr>
          <w:rFonts w:ascii="Verdana" w:hAnsi="Verdana" w:eastAsia="仿宋_GB2312"/>
          <w:sz w:val="24"/>
          <w:szCs w:val="24"/>
        </w:rPr>
        <w:t>。</w:t>
      </w:r>
    </w:p>
    <w:p w14:paraId="6909A2A2">
      <w:pPr>
        <w:adjustRightInd w:val="0"/>
        <w:snapToGrid w:val="0"/>
        <w:spacing w:line="300" w:lineRule="auto"/>
        <w:ind w:firstLine="645"/>
        <w:rPr>
          <w:rFonts w:ascii="Verdana" w:hAnsi="Verdana" w:eastAsia="仿宋_GB2312"/>
          <w:sz w:val="24"/>
          <w:szCs w:val="24"/>
        </w:rPr>
      </w:pPr>
      <w:r>
        <w:rPr>
          <w:rFonts w:ascii="Verdana" w:hAnsi="Verdana" w:eastAsia="仿宋_GB2312"/>
          <w:sz w:val="24"/>
          <w:szCs w:val="24"/>
        </w:rPr>
        <w:t>关于发包人应完成的其他开工准备工作及期限：</w:t>
      </w:r>
      <w:r>
        <w:rPr>
          <w:rFonts w:ascii="Verdana" w:hAnsi="Verdana" w:eastAsia="仿宋_GB2312"/>
          <w:sz w:val="24"/>
          <w:szCs w:val="24"/>
          <w:u w:val="single"/>
        </w:rPr>
        <w:t>无</w:t>
      </w:r>
      <w:r>
        <w:rPr>
          <w:rFonts w:ascii="Verdana" w:hAnsi="Verdana" w:eastAsia="仿宋_GB2312"/>
          <w:sz w:val="24"/>
          <w:szCs w:val="24"/>
        </w:rPr>
        <w:t>。</w:t>
      </w:r>
    </w:p>
    <w:p w14:paraId="07AC69F5">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关于承包人应完成的其他开工准备工作及期限：</w:t>
      </w:r>
      <w:r>
        <w:rPr>
          <w:rFonts w:ascii="Verdana" w:hAnsi="Verdana" w:eastAsia="仿宋_GB2312"/>
          <w:sz w:val="24"/>
          <w:szCs w:val="24"/>
          <w:u w:val="single"/>
        </w:rPr>
        <w:t>执行通用合同条款</w:t>
      </w:r>
      <w:r>
        <w:rPr>
          <w:rFonts w:ascii="Verdana" w:hAnsi="Verdana" w:eastAsia="仿宋_GB2312"/>
          <w:sz w:val="24"/>
          <w:szCs w:val="24"/>
        </w:rPr>
        <w:t>。</w:t>
      </w:r>
    </w:p>
    <w:p w14:paraId="101828FE">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7.3.2开工通知</w:t>
      </w:r>
    </w:p>
    <w:p w14:paraId="21611A2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因发包人原因造成监理人未能在计划开工日期之日起天内发出开工通知的，承包人有权提出价格调整要求，或者解除合同。</w:t>
      </w:r>
    </w:p>
    <w:bookmarkEnd w:id="142"/>
    <w:bookmarkEnd w:id="143"/>
    <w:bookmarkEnd w:id="144"/>
    <w:bookmarkEnd w:id="145"/>
    <w:bookmarkEnd w:id="146"/>
    <w:bookmarkEnd w:id="147"/>
    <w:bookmarkEnd w:id="148"/>
    <w:p w14:paraId="07DE0190">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7.4 测量放线</w:t>
      </w:r>
    </w:p>
    <w:p w14:paraId="06C307B9">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7.4.1发包人通过监理人向承包人提供测量基准点、基准线和水准点及其书面资料的期限：</w:t>
      </w:r>
      <w:r>
        <w:rPr>
          <w:rFonts w:ascii="Verdana" w:hAnsi="Verdana" w:eastAsia="仿宋_GB2312"/>
          <w:sz w:val="24"/>
          <w:szCs w:val="24"/>
          <w:u w:val="single"/>
        </w:rPr>
        <w:t>开工前以书面形式提供，三方现场实物交验</w:t>
      </w:r>
      <w:r>
        <w:rPr>
          <w:rFonts w:ascii="Verdana" w:hAnsi="Verdana" w:eastAsia="仿宋_GB2312"/>
          <w:sz w:val="24"/>
          <w:szCs w:val="24"/>
        </w:rPr>
        <w:t>。</w:t>
      </w:r>
    </w:p>
    <w:p w14:paraId="540D79A8">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w:t>
      </w:r>
      <w:bookmarkStart w:id="149" w:name="_Toc312678010"/>
      <w:bookmarkStart w:id="150" w:name="_Toc304295546"/>
      <w:bookmarkStart w:id="151" w:name="_Toc300934968"/>
      <w:bookmarkStart w:id="152" w:name="_Toc297216175"/>
      <w:bookmarkStart w:id="153" w:name="_Toc303539125"/>
      <w:bookmarkStart w:id="154" w:name="_Toc297123516"/>
      <w:bookmarkStart w:id="155" w:name="_Toc312677484"/>
      <w:r>
        <w:rPr>
          <w:rFonts w:ascii="Verdana" w:hAnsi="Verdana" w:eastAsia="黑体"/>
          <w:sz w:val="24"/>
          <w:szCs w:val="24"/>
        </w:rPr>
        <w:t>.5 工期延误</w:t>
      </w:r>
    </w:p>
    <w:bookmarkEnd w:id="149"/>
    <w:bookmarkEnd w:id="150"/>
    <w:bookmarkEnd w:id="151"/>
    <w:bookmarkEnd w:id="152"/>
    <w:bookmarkEnd w:id="153"/>
    <w:bookmarkEnd w:id="154"/>
    <w:bookmarkEnd w:id="155"/>
    <w:p w14:paraId="72D34E06">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7.5.1 因发包人原因导致工期延误</w:t>
      </w:r>
    </w:p>
    <w:p w14:paraId="2FEE4228">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（7）因发包人原因导致工期延误的其他情形：</w:t>
      </w:r>
      <w:r>
        <w:rPr>
          <w:rFonts w:ascii="Verdana" w:hAnsi="Verdana" w:eastAsia="仿宋_GB2312"/>
          <w:sz w:val="24"/>
          <w:szCs w:val="24"/>
          <w:u w:val="single"/>
        </w:rPr>
        <w:t>在合同履行过程中，因发包人原因导致工期延误，除本合同另有约定外，承包人应积极配合发包人做好施工计划调整，并合理调整人员和施工机械，由此延误的工期可以顺延，但发包人不承担因此增加的费用和索赔，并且承包人须在事件发生后七天内办理签证，逾期未办的视为未发生</w:t>
      </w:r>
      <w:r>
        <w:rPr>
          <w:rFonts w:ascii="Verdana" w:hAnsi="Verdana" w:eastAsia="仿宋_GB2312"/>
          <w:sz w:val="24"/>
          <w:szCs w:val="24"/>
        </w:rPr>
        <w:t>。</w:t>
      </w:r>
    </w:p>
    <w:p w14:paraId="32962A5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w:t>
      </w:r>
      <w:bookmarkStart w:id="156" w:name="_Toc312678012"/>
      <w:bookmarkStart w:id="157" w:name="_Toc312677486"/>
      <w:bookmarkStart w:id="158" w:name="_Toc318581169"/>
      <w:bookmarkStart w:id="159" w:name="_Toc303539127"/>
      <w:bookmarkStart w:id="160" w:name="_Toc300934970"/>
      <w:bookmarkStart w:id="161" w:name="_Toc304295548"/>
      <w:bookmarkStart w:id="162" w:name="_Toc297216177"/>
      <w:bookmarkStart w:id="163" w:name="_Toc297123518"/>
      <w:r>
        <w:rPr>
          <w:rFonts w:ascii="Verdana" w:hAnsi="Verdana" w:eastAsia="仿宋_GB2312"/>
          <w:sz w:val="24"/>
          <w:szCs w:val="24"/>
        </w:rPr>
        <w:t>.5.2 因承包人原因导致工期延误</w:t>
      </w:r>
    </w:p>
    <w:bookmarkEnd w:id="156"/>
    <w:bookmarkEnd w:id="157"/>
    <w:bookmarkEnd w:id="158"/>
    <w:p w14:paraId="706C0D9F">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因</w:t>
      </w:r>
      <w:bookmarkStart w:id="164" w:name="_Toc312677487"/>
      <w:bookmarkStart w:id="165" w:name="_Toc312678013"/>
      <w:bookmarkStart w:id="166" w:name="_Toc318581170"/>
      <w:r>
        <w:rPr>
          <w:rFonts w:ascii="Verdana" w:hAnsi="Verdana" w:eastAsia="仿宋_GB2312"/>
          <w:sz w:val="24"/>
          <w:szCs w:val="24"/>
        </w:rPr>
        <w:t>承包人原因造成工期延误，逾期竣工违约金的计算方法为：</w:t>
      </w:r>
      <w:r>
        <w:rPr>
          <w:rFonts w:ascii="Verdana" w:hAnsi="Verdana" w:eastAsia="仿宋_GB2312"/>
          <w:sz w:val="24"/>
          <w:szCs w:val="24"/>
          <w:u w:val="single"/>
        </w:rPr>
        <w:t>工期延误在 10 天内的，承包人向发包人缴纳不少于人民币 2000 元/天的违约金；工期延误在 10 天及以上的，承包人向发包人缴纳不少于人民币 5000 元/天的违约金；竣工日期延误超过 30 天的，视承包人违约，发包人有权单方解除合同，履约保证金不再返还，承包人再向发包人缴纳不少于人民币 5 万元的违约金，同时承包人还应赔偿给发包人造成的全部经济损失；非发包人原因造成的工期延误并不附带任何的补偿费用，在延长工期期间所增加的项目按发承包双方商定确认为准</w:t>
      </w:r>
      <w:r>
        <w:rPr>
          <w:rFonts w:ascii="Verdana" w:hAnsi="Verdana" w:eastAsia="仿宋_GB2312"/>
          <w:sz w:val="24"/>
          <w:szCs w:val="24"/>
        </w:rPr>
        <w:t>。</w:t>
      </w:r>
      <w:bookmarkEnd w:id="159"/>
      <w:bookmarkEnd w:id="160"/>
      <w:bookmarkEnd w:id="161"/>
      <w:bookmarkEnd w:id="162"/>
      <w:bookmarkEnd w:id="163"/>
      <w:bookmarkEnd w:id="164"/>
      <w:bookmarkEnd w:id="165"/>
    </w:p>
    <w:bookmarkEnd w:id="166"/>
    <w:p w14:paraId="4A1EB651">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因承包人原因造成工期延误，逾</w:t>
      </w:r>
      <w:bookmarkStart w:id="167" w:name="_Toc312678014"/>
      <w:bookmarkStart w:id="168" w:name="_Toc318581171"/>
      <w:r>
        <w:rPr>
          <w:rFonts w:ascii="Verdana" w:hAnsi="Verdana" w:eastAsia="仿宋_GB2312"/>
          <w:sz w:val="24"/>
          <w:szCs w:val="24"/>
        </w:rPr>
        <w:t>期竣工违约金的上限：</w:t>
      </w:r>
      <w:r>
        <w:rPr>
          <w:rFonts w:ascii="Verdana" w:hAnsi="Verdana" w:eastAsia="仿宋_GB2312"/>
          <w:sz w:val="24"/>
          <w:szCs w:val="24"/>
          <w:u w:val="single"/>
        </w:rPr>
        <w:t>为签约合同价的 10%。如承包人逾期竣工违约金合计超过最高限额，为承包人单方违约，则发包人有权单方面解除合同取消承包人承包资格</w:t>
      </w:r>
      <w:r>
        <w:rPr>
          <w:rFonts w:ascii="Verdana" w:hAnsi="Verdana" w:eastAsia="仿宋_GB2312"/>
          <w:sz w:val="24"/>
          <w:szCs w:val="24"/>
        </w:rPr>
        <w:t>。</w:t>
      </w:r>
    </w:p>
    <w:bookmarkEnd w:id="167"/>
    <w:bookmarkEnd w:id="168"/>
    <w:p w14:paraId="76CD64F0">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w:t>
      </w:r>
      <w:bookmarkStart w:id="169" w:name="_Toc300934971"/>
      <w:bookmarkStart w:id="170" w:name="_Toc312678015"/>
      <w:bookmarkStart w:id="171" w:name="_Toc297123519"/>
      <w:bookmarkStart w:id="172" w:name="_Toc304295549"/>
      <w:bookmarkStart w:id="173" w:name="_Toc297216178"/>
      <w:bookmarkStart w:id="174" w:name="_Toc303539128"/>
      <w:r>
        <w:rPr>
          <w:rFonts w:ascii="Verdana" w:hAnsi="Verdana" w:eastAsia="黑体"/>
          <w:sz w:val="24"/>
          <w:szCs w:val="24"/>
        </w:rPr>
        <w:t>.6 不</w:t>
      </w:r>
      <w:bookmarkEnd w:id="169"/>
      <w:bookmarkEnd w:id="170"/>
      <w:bookmarkEnd w:id="171"/>
      <w:bookmarkEnd w:id="172"/>
      <w:bookmarkEnd w:id="173"/>
      <w:bookmarkEnd w:id="174"/>
      <w:r>
        <w:rPr>
          <w:rFonts w:ascii="Verdana" w:hAnsi="Verdana" w:eastAsia="黑体"/>
          <w:sz w:val="24"/>
          <w:szCs w:val="24"/>
        </w:rPr>
        <w:t>利物质条件</w:t>
      </w:r>
    </w:p>
    <w:p w14:paraId="724EE419">
      <w:pPr>
        <w:adjustRightInd w:val="0"/>
        <w:snapToGrid w:val="0"/>
        <w:spacing w:line="300" w:lineRule="auto"/>
        <w:ind w:firstLine="480" w:firstLineChars="200"/>
        <w:rPr>
          <w:rFonts w:ascii="Verdana" w:hAnsi="Verdana" w:eastAsia="仿宋_GB2312"/>
          <w:sz w:val="24"/>
          <w:szCs w:val="24"/>
        </w:rPr>
      </w:pPr>
      <w:bookmarkStart w:id="175" w:name="_Toc297216179"/>
      <w:bookmarkStart w:id="176" w:name="_Toc297123520"/>
      <w:bookmarkStart w:id="177" w:name="_Toc303539129"/>
      <w:bookmarkStart w:id="178" w:name="_Toc304295550"/>
      <w:bookmarkStart w:id="179" w:name="_Toc312678016"/>
      <w:bookmarkStart w:id="180" w:name="_Toc318581172"/>
      <w:bookmarkStart w:id="181" w:name="_Toc300934972"/>
      <w:r>
        <w:rPr>
          <w:rFonts w:ascii="Verdana" w:hAnsi="Verdana" w:eastAsia="仿宋_GB2312"/>
          <w:sz w:val="24"/>
          <w:szCs w:val="24"/>
        </w:rPr>
        <w:t>不利物质条件的其他情形和有关约定：</w:t>
      </w:r>
      <w:r>
        <w:rPr>
          <w:rFonts w:ascii="Verdana" w:hAnsi="Verdana" w:eastAsia="仿宋_GB2312"/>
          <w:sz w:val="24"/>
          <w:szCs w:val="24"/>
          <w:u w:val="single"/>
        </w:rPr>
        <w:t>执行通用合同条款</w:t>
      </w:r>
      <w:r>
        <w:rPr>
          <w:rFonts w:ascii="Verdana" w:hAnsi="Verdana" w:eastAsia="仿宋_GB2312"/>
          <w:sz w:val="24"/>
          <w:szCs w:val="24"/>
        </w:rPr>
        <w:t>。</w:t>
      </w:r>
    </w:p>
    <w:bookmarkEnd w:id="175"/>
    <w:bookmarkEnd w:id="176"/>
    <w:bookmarkEnd w:id="177"/>
    <w:bookmarkEnd w:id="178"/>
    <w:bookmarkEnd w:id="179"/>
    <w:bookmarkEnd w:id="180"/>
    <w:bookmarkEnd w:id="181"/>
    <w:p w14:paraId="074C25B6">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7</w:t>
      </w:r>
      <w:bookmarkStart w:id="182" w:name="_Toc297123521"/>
      <w:bookmarkStart w:id="183" w:name="_Toc300934973"/>
      <w:bookmarkStart w:id="184" w:name="_Toc303539130"/>
      <w:bookmarkStart w:id="185" w:name="_Toc297216180"/>
      <w:bookmarkStart w:id="186" w:name="_Toc304295551"/>
      <w:bookmarkStart w:id="187" w:name="_Toc312678017"/>
      <w:r>
        <w:rPr>
          <w:rFonts w:ascii="Verdana" w:hAnsi="Verdana" w:eastAsia="黑体"/>
          <w:sz w:val="24"/>
          <w:szCs w:val="24"/>
        </w:rPr>
        <w:t>.7异常恶劣的气候条件</w:t>
      </w:r>
    </w:p>
    <w:bookmarkEnd w:id="182"/>
    <w:bookmarkEnd w:id="183"/>
    <w:bookmarkEnd w:id="184"/>
    <w:bookmarkEnd w:id="185"/>
    <w:bookmarkEnd w:id="186"/>
    <w:bookmarkEnd w:id="187"/>
    <w:p w14:paraId="2C37A46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发包人和承包人同意以下情形视为异常恶劣的气候条件：</w:t>
      </w:r>
    </w:p>
    <w:p w14:paraId="3C644A64">
      <w:pPr>
        <w:adjustRightInd w:val="0"/>
        <w:snapToGrid w:val="0"/>
        <w:spacing w:after="120"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u w:val="single"/>
        </w:rPr>
        <w:t xml:space="preserve">（1）日降雨量大于 100 </w:t>
      </w:r>
      <w:r>
        <w:rPr>
          <w:rFonts w:ascii="Verdana" w:hAnsi="Verdana" w:cs="宋体"/>
          <w:sz w:val="24"/>
          <w:szCs w:val="24"/>
          <w:u w:val="single"/>
        </w:rPr>
        <w:t>㎜</w:t>
      </w:r>
      <w:r>
        <w:rPr>
          <w:rFonts w:ascii="Verdana" w:hAnsi="Verdana" w:eastAsia="微软雅黑" w:cs="微软雅黑"/>
          <w:sz w:val="24"/>
          <w:szCs w:val="24"/>
          <w:u w:val="single"/>
        </w:rPr>
        <w:t>的雨日超过</w:t>
      </w:r>
      <w:r>
        <w:rPr>
          <w:rFonts w:ascii="Verdana" w:hAnsi="Verdana" w:eastAsia="仿宋_GB2312"/>
          <w:sz w:val="24"/>
          <w:szCs w:val="24"/>
          <w:u w:val="single"/>
        </w:rPr>
        <w:t xml:space="preserve"> 3 天；</w:t>
      </w:r>
    </w:p>
    <w:p w14:paraId="6D2AA0D6">
      <w:pPr>
        <w:adjustRightInd w:val="0"/>
        <w:snapToGrid w:val="0"/>
        <w:spacing w:after="120"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u w:val="single"/>
        </w:rPr>
        <w:t>（2）风速大于 17.2m/s 的 8 级以上台风灾害；</w:t>
      </w:r>
    </w:p>
    <w:p w14:paraId="7230DD2E">
      <w:pPr>
        <w:adjustRightInd w:val="0"/>
        <w:snapToGrid w:val="0"/>
        <w:spacing w:after="120"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u w:val="single"/>
        </w:rPr>
        <w:t>（3）日气温超过 37</w:t>
      </w:r>
      <w:r>
        <w:rPr>
          <w:rFonts w:hint="eastAsia" w:ascii="宋体" w:hAnsi="宋体" w:cs="宋体"/>
          <w:sz w:val="24"/>
          <w:szCs w:val="24"/>
          <w:u w:val="single"/>
        </w:rPr>
        <w:t>℃</w:t>
      </w:r>
      <w:r>
        <w:rPr>
          <w:rFonts w:ascii="Verdana" w:hAnsi="Verdana" w:eastAsia="仿宋_GB2312"/>
          <w:sz w:val="24"/>
          <w:szCs w:val="24"/>
          <w:u w:val="single"/>
        </w:rPr>
        <w:t>的高温大于 3 天或日气温超过 35</w:t>
      </w:r>
      <w:r>
        <w:rPr>
          <w:rFonts w:hint="eastAsia" w:ascii="宋体" w:hAnsi="宋体" w:cs="宋体"/>
          <w:sz w:val="24"/>
          <w:szCs w:val="24"/>
          <w:u w:val="single"/>
        </w:rPr>
        <w:t>℃</w:t>
      </w:r>
      <w:r>
        <w:rPr>
          <w:rFonts w:ascii="Verdana" w:hAnsi="Verdana" w:eastAsia="仿宋_GB2312"/>
          <w:sz w:val="24"/>
          <w:szCs w:val="24"/>
          <w:u w:val="single"/>
        </w:rPr>
        <w:t>的高温连续 5 天及以上；</w:t>
      </w:r>
    </w:p>
    <w:p w14:paraId="20B2A5A7">
      <w:pPr>
        <w:adjustRightInd w:val="0"/>
        <w:snapToGrid w:val="0"/>
        <w:spacing w:after="120"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u w:val="single"/>
        </w:rPr>
        <w:t>（4）日气温低于―10</w:t>
      </w:r>
      <w:r>
        <w:rPr>
          <w:rFonts w:hint="eastAsia" w:ascii="宋体" w:hAnsi="宋体" w:cs="宋体"/>
          <w:sz w:val="24"/>
          <w:szCs w:val="24"/>
          <w:u w:val="single"/>
        </w:rPr>
        <w:t>℃</w:t>
      </w:r>
      <w:r>
        <w:rPr>
          <w:rFonts w:ascii="Verdana" w:hAnsi="Verdana" w:eastAsia="仿宋_GB2312"/>
          <w:sz w:val="24"/>
          <w:szCs w:val="24"/>
          <w:u w:val="single"/>
        </w:rPr>
        <w:t>的大寒大于 3 天；</w:t>
      </w:r>
    </w:p>
    <w:p w14:paraId="3F277377">
      <w:pPr>
        <w:adjustRightInd w:val="0"/>
        <w:snapToGrid w:val="0"/>
        <w:spacing w:after="120"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u w:val="single"/>
        </w:rPr>
        <w:t xml:space="preserve">（5）造成工程损坏的冰雹和大雪灾害：日降雪量 10 </w:t>
      </w:r>
      <w:r>
        <w:rPr>
          <w:rFonts w:ascii="Verdana" w:hAnsi="Verdana" w:cs="宋体"/>
          <w:sz w:val="24"/>
          <w:szCs w:val="24"/>
          <w:u w:val="single"/>
        </w:rPr>
        <w:t>㎜</w:t>
      </w:r>
      <w:r>
        <w:rPr>
          <w:rFonts w:ascii="Verdana" w:hAnsi="Verdana" w:eastAsia="微软雅黑" w:cs="微软雅黑"/>
          <w:sz w:val="24"/>
          <w:szCs w:val="24"/>
          <w:u w:val="single"/>
        </w:rPr>
        <w:t>及以上</w:t>
      </w:r>
      <w:r>
        <w:rPr>
          <w:rFonts w:ascii="Verdana" w:hAnsi="Verdana" w:eastAsia="仿宋_GB2312"/>
          <w:sz w:val="24"/>
          <w:szCs w:val="24"/>
          <w:u w:val="single"/>
        </w:rPr>
        <w:t>；</w:t>
      </w:r>
    </w:p>
    <w:p w14:paraId="04DACB86">
      <w:pPr>
        <w:adjustRightInd w:val="0"/>
        <w:snapToGrid w:val="0"/>
        <w:spacing w:after="120" w:line="300" w:lineRule="auto"/>
        <w:ind w:firstLine="480" w:firstLineChars="200"/>
        <w:outlineLvl w:val="0"/>
        <w:rPr>
          <w:rFonts w:ascii="Verdana" w:hAnsi="Verdana" w:eastAsia="仿宋_GB2312"/>
          <w:sz w:val="24"/>
          <w:szCs w:val="24"/>
          <w:u w:val="single"/>
        </w:rPr>
      </w:pPr>
      <w:r>
        <w:rPr>
          <w:rFonts w:ascii="Verdana" w:hAnsi="Verdana" w:eastAsia="仿宋_GB2312"/>
          <w:sz w:val="24"/>
          <w:szCs w:val="24"/>
          <w:u w:val="single"/>
        </w:rPr>
        <w:t>（6）其它异常恶劣气候灾害。</w:t>
      </w:r>
    </w:p>
    <w:p w14:paraId="599E4B5C">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7.9 提前竣工的奖励</w:t>
      </w:r>
    </w:p>
    <w:p w14:paraId="71383C1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7.9.2提前竣工的奖励：</w:t>
      </w:r>
      <w:r>
        <w:rPr>
          <w:rFonts w:ascii="Verdana" w:hAnsi="Verdana" w:eastAsia="仿宋_GB2312"/>
          <w:sz w:val="24"/>
          <w:szCs w:val="24"/>
          <w:u w:val="single"/>
        </w:rPr>
        <w:t>/</w:t>
      </w:r>
      <w:r>
        <w:rPr>
          <w:rFonts w:ascii="Verdana" w:hAnsi="Verdana" w:eastAsia="仿宋_GB2312"/>
          <w:sz w:val="24"/>
          <w:szCs w:val="24"/>
        </w:rPr>
        <w:t>。</w:t>
      </w:r>
    </w:p>
    <w:p w14:paraId="5192B932">
      <w:pPr>
        <w:pStyle w:val="5"/>
        <w:adjustRightInd w:val="0"/>
        <w:snapToGrid w:val="0"/>
        <w:spacing w:before="120" w:after="120" w:line="300" w:lineRule="auto"/>
        <w:jc w:val="left"/>
        <w:rPr>
          <w:rFonts w:ascii="Verdana" w:hAnsi="Verdana"/>
          <w:b/>
          <w:sz w:val="24"/>
          <w:szCs w:val="24"/>
        </w:rPr>
      </w:pPr>
      <w:bookmarkStart w:id="188" w:name="_Toc351203640"/>
      <w:r>
        <w:rPr>
          <w:rFonts w:ascii="Verdana" w:hAnsi="Verdana"/>
          <w:sz w:val="24"/>
          <w:szCs w:val="24"/>
        </w:rPr>
        <w:t>8. 材料与设备</w:t>
      </w:r>
      <w:bookmarkEnd w:id="188"/>
    </w:p>
    <w:bookmarkEnd w:id="123"/>
    <w:bookmarkEnd w:id="124"/>
    <w:bookmarkEnd w:id="125"/>
    <w:bookmarkEnd w:id="126"/>
    <w:bookmarkEnd w:id="127"/>
    <w:bookmarkEnd w:id="128"/>
    <w:bookmarkEnd w:id="129"/>
    <w:bookmarkEnd w:id="130"/>
    <w:bookmarkEnd w:id="131"/>
    <w:bookmarkEnd w:id="132"/>
    <w:p w14:paraId="6CBBA8AC">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8</w:t>
      </w:r>
      <w:bookmarkStart w:id="189" w:name="_Toc304295556"/>
      <w:bookmarkStart w:id="190" w:name="_Toc280868654"/>
      <w:bookmarkStart w:id="191" w:name="_Toc296891207"/>
      <w:bookmarkStart w:id="192" w:name="_Toc312677493"/>
      <w:bookmarkStart w:id="193" w:name="_Toc292559877"/>
      <w:bookmarkStart w:id="194" w:name="_Toc296890995"/>
      <w:bookmarkStart w:id="195" w:name="_Toc296944506"/>
      <w:bookmarkStart w:id="196" w:name="_Toc292559372"/>
      <w:bookmarkStart w:id="197" w:name="_Toc296503167"/>
      <w:bookmarkStart w:id="198" w:name="_Toc312678019"/>
      <w:bookmarkStart w:id="199" w:name="_Toc296347166"/>
      <w:bookmarkStart w:id="200" w:name="_Toc297120467"/>
      <w:bookmarkStart w:id="201" w:name="_Toc300934979"/>
      <w:bookmarkStart w:id="202" w:name="_Toc297123527"/>
      <w:bookmarkStart w:id="203" w:name="_Toc297216186"/>
      <w:bookmarkStart w:id="204" w:name="_Toc303539136"/>
      <w:bookmarkStart w:id="205" w:name="_Toc296346668"/>
      <w:bookmarkStart w:id="206" w:name="_Toc297048353"/>
      <w:bookmarkStart w:id="207" w:name="_Toc280868655"/>
      <w:bookmarkStart w:id="208" w:name="_Toc267251424"/>
      <w:bookmarkStart w:id="209" w:name="_Toc280868656"/>
      <w:r>
        <w:rPr>
          <w:rFonts w:ascii="Verdana" w:hAnsi="Verdana" w:eastAsia="黑体"/>
          <w:sz w:val="24"/>
          <w:szCs w:val="24"/>
        </w:rPr>
        <w:t>.4材料与工程设备的保管与使用</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0801FEBB">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8</w:t>
      </w:r>
      <w:bookmarkStart w:id="210" w:name="_Toc292559878"/>
      <w:bookmarkStart w:id="211" w:name="_Toc292559373"/>
      <w:bookmarkStart w:id="212" w:name="_Toc318581173"/>
      <w:bookmarkStart w:id="213" w:name="_Toc312677494"/>
      <w:bookmarkStart w:id="214" w:name="_Toc296503168"/>
      <w:bookmarkStart w:id="215" w:name="_Toc297048354"/>
      <w:bookmarkStart w:id="216" w:name="_Toc296346669"/>
      <w:bookmarkStart w:id="217" w:name="_Toc296891208"/>
      <w:bookmarkStart w:id="218" w:name="_Toc300934980"/>
      <w:bookmarkStart w:id="219" w:name="_Toc303539137"/>
      <w:bookmarkStart w:id="220" w:name="_Toc297123528"/>
      <w:bookmarkStart w:id="221" w:name="_Toc296944507"/>
      <w:bookmarkStart w:id="222" w:name="_Toc296890996"/>
      <w:bookmarkStart w:id="223" w:name="_Toc304295557"/>
      <w:bookmarkStart w:id="224" w:name="_Toc297216187"/>
      <w:bookmarkStart w:id="225" w:name="_Toc297120468"/>
      <w:bookmarkStart w:id="226" w:name="_Toc296347167"/>
      <w:bookmarkStart w:id="227" w:name="_Toc312678020"/>
      <w:r>
        <w:rPr>
          <w:rFonts w:ascii="Verdana" w:hAnsi="Verdana" w:eastAsia="仿宋_GB2312"/>
          <w:sz w:val="24"/>
          <w:szCs w:val="24"/>
        </w:rPr>
        <w:t>.4.1发包人供应的材料设备的保管费用的承担：</w:t>
      </w:r>
      <w:r>
        <w:rPr>
          <w:rFonts w:ascii="Verdana" w:hAnsi="Verdana" w:eastAsia="仿宋_GB2312"/>
          <w:sz w:val="24"/>
          <w:szCs w:val="24"/>
          <w:u w:val="single"/>
        </w:rPr>
        <w:t>由承包人承担</w:t>
      </w:r>
      <w:r>
        <w:rPr>
          <w:rFonts w:ascii="Verdana" w:hAnsi="Verdana" w:eastAsia="仿宋_GB2312"/>
          <w:sz w:val="24"/>
          <w:szCs w:val="24"/>
        </w:rPr>
        <w:t>。</w:t>
      </w:r>
      <w:bookmarkEnd w:id="210"/>
      <w:bookmarkEnd w:id="211"/>
    </w:p>
    <w:p w14:paraId="32BB7544">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8.6 样品</w:t>
      </w:r>
    </w:p>
    <w:p w14:paraId="231C94CC">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8.6.1</w:t>
      </w:r>
      <w:r>
        <w:rPr>
          <w:rFonts w:ascii="Verdana" w:hAnsi="Verdana" w:eastAsia="仿宋_GB2312"/>
          <w:sz w:val="24"/>
          <w:szCs w:val="24"/>
        </w:rPr>
        <w:tab/>
      </w:r>
      <w:r>
        <w:rPr>
          <w:rFonts w:ascii="Verdana" w:hAnsi="Verdana" w:eastAsia="仿宋_GB2312"/>
          <w:sz w:val="24"/>
          <w:szCs w:val="24"/>
        </w:rPr>
        <w:t>样品的报送与封存</w:t>
      </w:r>
    </w:p>
    <w:p w14:paraId="6DB6CF82">
      <w:pPr>
        <w:autoSpaceDE w:val="0"/>
        <w:autoSpaceDN w:val="0"/>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需要承包人报送样品的材料或工程设备，样品的种类、名称、规格、数量要求：</w:t>
      </w:r>
      <w:r>
        <w:rPr>
          <w:rFonts w:ascii="Verdana" w:hAnsi="Verdana" w:eastAsia="仿宋_GB2312"/>
          <w:sz w:val="24"/>
          <w:szCs w:val="24"/>
          <w:u w:val="single"/>
        </w:rPr>
        <w:t xml:space="preserve">/       </w:t>
      </w:r>
      <w:r>
        <w:rPr>
          <w:rFonts w:ascii="Verdana" w:hAnsi="Verdana" w:eastAsia="仿宋_GB2312"/>
          <w:sz w:val="24"/>
          <w:szCs w:val="24"/>
        </w:rPr>
        <w:t>。</w:t>
      </w:r>
    </w:p>
    <w:p w14:paraId="78F7B4F9">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8.8 施工设备和临时设施</w:t>
      </w:r>
    </w:p>
    <w:p w14:paraId="43B4E677">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8.8.1 承包人提供的施工设备和临时设施</w:t>
      </w:r>
    </w:p>
    <w:p w14:paraId="77C5F8F1">
      <w:pPr>
        <w:autoSpaceDE w:val="0"/>
        <w:autoSpaceDN w:val="0"/>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关于修建临时设施费用承担的约定：</w:t>
      </w:r>
      <w:r>
        <w:rPr>
          <w:rFonts w:ascii="Verdana" w:hAnsi="Verdana" w:eastAsia="仿宋_GB2312"/>
          <w:sz w:val="24"/>
          <w:szCs w:val="24"/>
          <w:u w:val="single"/>
        </w:rPr>
        <w:t>承包人应自行承担修建临时设施（包括临时道路等）的费用，并自行保养施工区域，需要临时占地的，应由承包人办理申请手续并承担相应费用，发包人可视情况协助办理；承包人须保证施工期间的交通运输畅通并满足施工需要，并应免费提供发包人、监理人及与本合同有关的其他承包人使用；相关费用由承包人在投标踏勘现场时综合考虑并计入投标报价内，承包人应充分考虑到此点，因承包人未合理预见所增加的费用和（或）延误的工期由承包人承担，施工期间发生的该类一切费用发包人不予补偿</w:t>
      </w:r>
      <w:r>
        <w:rPr>
          <w:rFonts w:ascii="Verdana" w:hAnsi="Verdana" w:eastAsia="仿宋_GB2312"/>
          <w:sz w:val="24"/>
          <w:szCs w:val="24"/>
        </w:rPr>
        <w:t>。</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0F28E3E6">
      <w:pPr>
        <w:pStyle w:val="5"/>
        <w:adjustRightInd w:val="0"/>
        <w:snapToGrid w:val="0"/>
        <w:spacing w:before="120" w:after="120" w:line="300" w:lineRule="auto"/>
        <w:jc w:val="left"/>
        <w:rPr>
          <w:rFonts w:ascii="Verdana" w:hAnsi="Verdana"/>
          <w:b/>
          <w:sz w:val="24"/>
          <w:szCs w:val="24"/>
        </w:rPr>
      </w:pPr>
      <w:bookmarkStart w:id="228" w:name="_Toc351203641"/>
      <w:r>
        <w:rPr>
          <w:rFonts w:ascii="Verdana" w:hAnsi="Verdana"/>
          <w:sz w:val="24"/>
          <w:szCs w:val="24"/>
        </w:rPr>
        <w:t>9</w:t>
      </w:r>
      <w:bookmarkEnd w:id="207"/>
      <w:bookmarkEnd w:id="208"/>
      <w:bookmarkEnd w:id="209"/>
      <w:bookmarkStart w:id="229" w:name="_Toc297123533"/>
      <w:bookmarkStart w:id="230" w:name="_Toc303539139"/>
      <w:bookmarkStart w:id="231" w:name="_Toc297216192"/>
      <w:bookmarkStart w:id="232" w:name="_Toc300934982"/>
      <w:bookmarkStart w:id="233" w:name="_Toc312677495"/>
      <w:bookmarkStart w:id="234" w:name="_Toc312678021"/>
      <w:bookmarkStart w:id="235" w:name="_Toc304295559"/>
      <w:bookmarkStart w:id="236" w:name="_Toc296503173"/>
      <w:bookmarkStart w:id="237" w:name="_Toc297048359"/>
      <w:bookmarkStart w:id="238" w:name="_Toc267251428"/>
      <w:bookmarkStart w:id="239" w:name="_Toc267251427"/>
      <w:bookmarkStart w:id="240" w:name="_Toc296891001"/>
      <w:bookmarkStart w:id="241" w:name="_Toc292559378"/>
      <w:bookmarkStart w:id="242" w:name="_Toc296347172"/>
      <w:bookmarkStart w:id="243" w:name="_Toc296346674"/>
      <w:bookmarkStart w:id="244" w:name="_Toc296944512"/>
      <w:bookmarkStart w:id="245" w:name="_Toc292559883"/>
      <w:bookmarkStart w:id="246" w:name="_Toc297120473"/>
      <w:bookmarkStart w:id="247" w:name="_Toc296891213"/>
      <w:r>
        <w:rPr>
          <w:rFonts w:ascii="Verdana" w:hAnsi="Verdana"/>
          <w:sz w:val="24"/>
          <w:szCs w:val="24"/>
        </w:rPr>
        <w:t>. 试验与检验</w:t>
      </w:r>
      <w:bookmarkEnd w:id="228"/>
    </w:p>
    <w:bookmarkEnd w:id="229"/>
    <w:bookmarkEnd w:id="230"/>
    <w:bookmarkEnd w:id="231"/>
    <w:bookmarkEnd w:id="232"/>
    <w:bookmarkEnd w:id="233"/>
    <w:bookmarkEnd w:id="234"/>
    <w:bookmarkEnd w:id="235"/>
    <w:p w14:paraId="586D7B70">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9</w:t>
      </w:r>
      <w:bookmarkStart w:id="248" w:name="_Toc312677496"/>
      <w:bookmarkStart w:id="249" w:name="_Toc304295560"/>
      <w:bookmarkStart w:id="250" w:name="_Toc303539140"/>
      <w:bookmarkStart w:id="251" w:name="_Toc297216193"/>
      <w:bookmarkStart w:id="252" w:name="_Toc297123534"/>
      <w:bookmarkStart w:id="253" w:name="_Toc312678022"/>
      <w:bookmarkStart w:id="254" w:name="_Toc300934983"/>
      <w:r>
        <w:rPr>
          <w:rFonts w:ascii="Verdana" w:hAnsi="Verdana" w:eastAsia="黑体"/>
          <w:sz w:val="24"/>
          <w:szCs w:val="24"/>
        </w:rPr>
        <w:t>.1试验设备与试验人员</w:t>
      </w:r>
    </w:p>
    <w:bookmarkEnd w:id="248"/>
    <w:bookmarkEnd w:id="249"/>
    <w:bookmarkEnd w:id="250"/>
    <w:bookmarkEnd w:id="251"/>
    <w:bookmarkEnd w:id="252"/>
    <w:bookmarkEnd w:id="253"/>
    <w:bookmarkEnd w:id="254"/>
    <w:p w14:paraId="1747D2D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9</w:t>
      </w:r>
      <w:bookmarkStart w:id="255" w:name="_Toc303539141"/>
      <w:bookmarkStart w:id="256" w:name="_Toc304295561"/>
      <w:bookmarkStart w:id="257" w:name="_Toc312677497"/>
      <w:bookmarkStart w:id="258" w:name="_Toc297216194"/>
      <w:bookmarkStart w:id="259" w:name="_Toc312678023"/>
      <w:bookmarkStart w:id="260" w:name="_Toc297123535"/>
      <w:bookmarkStart w:id="261" w:name="_Toc300934984"/>
      <w:bookmarkStart w:id="262" w:name="_Toc318581174"/>
      <w:r>
        <w:rPr>
          <w:rFonts w:ascii="Verdana" w:hAnsi="Verdana" w:eastAsia="仿宋_GB2312"/>
          <w:sz w:val="24"/>
          <w:szCs w:val="24"/>
        </w:rPr>
        <w:t>.1.2 试验设备</w:t>
      </w:r>
    </w:p>
    <w:p w14:paraId="65852AA8">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施工现场需要配置的试验场所：</w:t>
      </w:r>
      <w:bookmarkEnd w:id="255"/>
      <w:bookmarkEnd w:id="256"/>
      <w:bookmarkEnd w:id="257"/>
      <w:bookmarkEnd w:id="258"/>
      <w:bookmarkEnd w:id="259"/>
      <w:bookmarkEnd w:id="260"/>
      <w:bookmarkEnd w:id="261"/>
      <w:bookmarkStart w:id="263" w:name="_Toc304295562"/>
      <w:bookmarkStart w:id="264" w:name="_Toc312677498"/>
      <w:bookmarkStart w:id="265" w:name="_Toc300934985"/>
      <w:bookmarkStart w:id="266" w:name="_Toc303539142"/>
      <w:bookmarkStart w:id="267" w:name="_Toc297123536"/>
      <w:bookmarkStart w:id="268" w:name="_Toc312678024"/>
      <w:bookmarkStart w:id="269" w:name="_Toc297216195"/>
      <w:r>
        <w:rPr>
          <w:rFonts w:ascii="Verdana" w:hAnsi="Verdana" w:eastAsia="仿宋_GB2312"/>
          <w:sz w:val="24"/>
          <w:szCs w:val="24"/>
          <w:u w:val="single"/>
        </w:rPr>
        <w:t>按现行相关规定、质监部门的有关要求及监理人指示进行配置</w:t>
      </w:r>
      <w:r>
        <w:rPr>
          <w:rFonts w:ascii="Verdana" w:hAnsi="Verdana" w:eastAsia="仿宋_GB2312"/>
          <w:sz w:val="24"/>
          <w:szCs w:val="24"/>
        </w:rPr>
        <w:t>。</w:t>
      </w:r>
    </w:p>
    <w:p w14:paraId="17184290">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施工现场需要配备的试验设备：</w:t>
      </w:r>
      <w:r>
        <w:rPr>
          <w:rFonts w:ascii="Verdana" w:hAnsi="Verdana" w:eastAsia="仿宋_GB2312"/>
          <w:sz w:val="24"/>
          <w:szCs w:val="24"/>
          <w:u w:val="single"/>
        </w:rPr>
        <w:t>按现行相关规定、质监部门的有关要求及监理人指示进行配置</w:t>
      </w:r>
      <w:r>
        <w:rPr>
          <w:rFonts w:ascii="Verdana" w:hAnsi="Verdana" w:eastAsia="仿宋_GB2312"/>
          <w:sz w:val="24"/>
          <w:szCs w:val="24"/>
        </w:rPr>
        <w:t>。</w:t>
      </w:r>
    </w:p>
    <w:p w14:paraId="60A3A103">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施工现场需要具备的其他试验条件：</w:t>
      </w:r>
      <w:r>
        <w:rPr>
          <w:rFonts w:ascii="Verdana" w:hAnsi="Verdana" w:eastAsia="仿宋_GB2312"/>
          <w:sz w:val="24"/>
          <w:szCs w:val="24"/>
          <w:u w:val="single"/>
        </w:rPr>
        <w:t>按现行相关规定、质监部门的有关要求及监理人指示执行</w:t>
      </w:r>
      <w:r>
        <w:rPr>
          <w:rFonts w:ascii="Verdana" w:hAnsi="Verdana" w:eastAsia="仿宋_GB2312"/>
          <w:sz w:val="24"/>
          <w:szCs w:val="24"/>
        </w:rPr>
        <w:t>。</w:t>
      </w:r>
    </w:p>
    <w:p w14:paraId="091B24C3">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9.4 现场工艺试验</w:t>
      </w:r>
    </w:p>
    <w:p w14:paraId="44D497C6">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现场工艺试验的有关约定：</w:t>
      </w:r>
      <w:r>
        <w:rPr>
          <w:rFonts w:ascii="Verdana" w:hAnsi="Verdana" w:eastAsia="仿宋_GB2312"/>
          <w:sz w:val="24"/>
          <w:szCs w:val="24"/>
          <w:u w:val="single"/>
        </w:rPr>
        <w:t>双方另行约定</w:t>
      </w:r>
      <w:r>
        <w:rPr>
          <w:rFonts w:ascii="Verdana" w:hAnsi="Verdana" w:eastAsia="仿宋_GB2312"/>
          <w:sz w:val="24"/>
          <w:szCs w:val="24"/>
        </w:rPr>
        <w:t>。</w:t>
      </w:r>
    </w:p>
    <w:bookmarkEnd w:id="262"/>
    <w:bookmarkEnd w:id="263"/>
    <w:bookmarkEnd w:id="264"/>
    <w:bookmarkEnd w:id="265"/>
    <w:bookmarkEnd w:id="266"/>
    <w:bookmarkEnd w:id="267"/>
    <w:bookmarkEnd w:id="268"/>
    <w:bookmarkEnd w:id="269"/>
    <w:p w14:paraId="4B849077">
      <w:pPr>
        <w:pStyle w:val="5"/>
        <w:adjustRightInd w:val="0"/>
        <w:snapToGrid w:val="0"/>
        <w:spacing w:before="120" w:after="120" w:line="300" w:lineRule="auto"/>
        <w:jc w:val="left"/>
        <w:rPr>
          <w:rFonts w:ascii="Verdana" w:hAnsi="Verdana"/>
          <w:b/>
          <w:sz w:val="24"/>
          <w:szCs w:val="24"/>
        </w:rPr>
      </w:pPr>
      <w:bookmarkStart w:id="270" w:name="_Toc351203642"/>
      <w:r>
        <w:rPr>
          <w:rFonts w:ascii="Verdana" w:hAnsi="Verdana"/>
          <w:sz w:val="24"/>
          <w:szCs w:val="24"/>
        </w:rPr>
        <w:t>1</w:t>
      </w:r>
      <w:bookmarkEnd w:id="236"/>
      <w:bookmarkEnd w:id="237"/>
      <w:bookmarkEnd w:id="238"/>
      <w:bookmarkEnd w:id="239"/>
      <w:bookmarkEnd w:id="240"/>
      <w:bookmarkEnd w:id="241"/>
      <w:bookmarkEnd w:id="242"/>
      <w:bookmarkEnd w:id="243"/>
      <w:bookmarkEnd w:id="244"/>
      <w:bookmarkEnd w:id="245"/>
      <w:bookmarkEnd w:id="246"/>
      <w:bookmarkEnd w:id="247"/>
      <w:bookmarkStart w:id="271" w:name="_Toc296503193"/>
      <w:bookmarkStart w:id="272" w:name="_Toc303539146"/>
      <w:bookmarkStart w:id="273" w:name="_Toc296347192"/>
      <w:bookmarkStart w:id="274" w:name="_Toc297216199"/>
      <w:bookmarkStart w:id="275" w:name="_Toc297123540"/>
      <w:bookmarkStart w:id="276" w:name="_Toc296346694"/>
      <w:bookmarkStart w:id="277" w:name="_Toc296891021"/>
      <w:bookmarkStart w:id="278" w:name="_Toc297048379"/>
      <w:bookmarkStart w:id="279" w:name="_Toc292559903"/>
      <w:bookmarkStart w:id="280" w:name="_Toc300934989"/>
      <w:bookmarkStart w:id="281" w:name="_Toc297120493"/>
      <w:bookmarkStart w:id="282" w:name="_Toc296944532"/>
      <w:bookmarkStart w:id="283" w:name="_Toc304295566"/>
      <w:bookmarkStart w:id="284" w:name="_Toc292559398"/>
      <w:bookmarkStart w:id="285" w:name="_Toc296891233"/>
      <w:bookmarkStart w:id="286" w:name="_Toc312678025"/>
      <w:bookmarkStart w:id="287" w:name="_Toc312677499"/>
      <w:bookmarkStart w:id="288" w:name="_Toc267251439"/>
      <w:bookmarkStart w:id="289" w:name="_Toc267251433"/>
      <w:bookmarkStart w:id="290" w:name="_Toc267251441"/>
      <w:bookmarkStart w:id="291" w:name="_Toc267251440"/>
      <w:bookmarkStart w:id="292" w:name="_Toc267251435"/>
      <w:bookmarkStart w:id="293" w:name="_Toc267251437"/>
      <w:bookmarkStart w:id="294" w:name="_Toc267251442"/>
      <w:r>
        <w:rPr>
          <w:rFonts w:ascii="Verdana" w:hAnsi="Verdana"/>
          <w:sz w:val="24"/>
          <w:szCs w:val="24"/>
        </w:rPr>
        <w:t>0. 变更</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bookmarkEnd w:id="287"/>
    <w:p w14:paraId="7F39C744">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w:t>
      </w:r>
      <w:bookmarkStart w:id="295" w:name="_Toc296347193"/>
      <w:bookmarkStart w:id="296" w:name="_Toc297048380"/>
      <w:bookmarkStart w:id="297" w:name="_Toc304295567"/>
      <w:bookmarkStart w:id="298" w:name="_Toc292559399"/>
      <w:bookmarkStart w:id="299" w:name="_Toc300934990"/>
      <w:bookmarkStart w:id="300" w:name="_Toc296944533"/>
      <w:bookmarkStart w:id="301" w:name="_Toc297123541"/>
      <w:bookmarkStart w:id="302" w:name="_Toc312678026"/>
      <w:bookmarkStart w:id="303" w:name="_Toc312677500"/>
      <w:bookmarkStart w:id="304" w:name="_Toc297120494"/>
      <w:bookmarkStart w:id="305" w:name="_Toc296503194"/>
      <w:bookmarkStart w:id="306" w:name="_Toc296346695"/>
      <w:bookmarkStart w:id="307" w:name="_Toc297216200"/>
      <w:bookmarkStart w:id="308" w:name="_Toc296891022"/>
      <w:bookmarkStart w:id="309" w:name="_Toc296891234"/>
      <w:bookmarkStart w:id="310" w:name="_Toc292559904"/>
      <w:bookmarkStart w:id="311" w:name="_Toc303539147"/>
      <w:r>
        <w:rPr>
          <w:rFonts w:ascii="Verdana" w:hAnsi="Verdana" w:eastAsia="黑体"/>
          <w:sz w:val="24"/>
          <w:szCs w:val="24"/>
        </w:rPr>
        <w:t>0.1变更的范围</w:t>
      </w:r>
    </w:p>
    <w:p w14:paraId="277594D6">
      <w:pPr>
        <w:adjustRightInd w:val="0"/>
        <w:snapToGrid w:val="0"/>
        <w:spacing w:line="300" w:lineRule="auto"/>
        <w:ind w:firstLine="600"/>
        <w:rPr>
          <w:rFonts w:ascii="Verdana" w:hAnsi="Verdana" w:eastAsia="仿宋_GB2312"/>
          <w:sz w:val="24"/>
          <w:szCs w:val="24"/>
        </w:rPr>
      </w:pPr>
      <w:r>
        <w:rPr>
          <w:rFonts w:ascii="Verdana" w:hAnsi="Verdana" w:eastAsia="仿宋_GB2312"/>
          <w:sz w:val="24"/>
          <w:szCs w:val="24"/>
        </w:rPr>
        <w:t>关于变更的范围的约定：</w:t>
      </w:r>
      <w:r>
        <w:rPr>
          <w:rFonts w:ascii="Verdana" w:hAnsi="Verdana" w:eastAsia="仿宋_GB2312"/>
          <w:sz w:val="24"/>
          <w:szCs w:val="24"/>
          <w:u w:val="single"/>
        </w:rPr>
        <w:t>执行通用合同条款</w:t>
      </w:r>
      <w:r>
        <w:rPr>
          <w:rFonts w:ascii="Verdana" w:hAnsi="Verdana" w:eastAsia="仿宋_GB2312"/>
          <w:sz w:val="24"/>
          <w:szCs w:val="24"/>
        </w:rPr>
        <w:t>。</w:t>
      </w:r>
    </w:p>
    <w:p w14:paraId="2D9A56A5">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10.4 变更估价</w:t>
      </w:r>
    </w:p>
    <w:p w14:paraId="478DFD1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10.4.1 变更估价原则</w:t>
      </w:r>
    </w:p>
    <w:p w14:paraId="3C8B9BBC">
      <w:pPr>
        <w:adjustRightInd w:val="0"/>
        <w:snapToGrid w:val="0"/>
        <w:spacing w:line="300" w:lineRule="auto"/>
        <w:ind w:firstLine="480" w:firstLineChars="200"/>
        <w:jc w:val="left"/>
        <w:rPr>
          <w:rFonts w:ascii="Verdana" w:hAnsi="Verdana" w:eastAsia="仿宋_GB2312"/>
          <w:sz w:val="24"/>
          <w:szCs w:val="24"/>
        </w:rPr>
      </w:pPr>
      <w:r>
        <w:rPr>
          <w:rFonts w:ascii="Verdana" w:hAnsi="Verdana" w:eastAsia="仿宋_GB2312"/>
          <w:sz w:val="24"/>
          <w:szCs w:val="24"/>
        </w:rPr>
        <w:t>关于变更估价的约定:</w:t>
      </w:r>
    </w:p>
    <w:p w14:paraId="6701CB47">
      <w:pPr>
        <w:adjustRightInd w:val="0"/>
        <w:snapToGrid w:val="0"/>
        <w:spacing w:line="300" w:lineRule="auto"/>
        <w:ind w:firstLine="480" w:firstLineChars="200"/>
        <w:jc w:val="left"/>
        <w:rPr>
          <w:rFonts w:eastAsia="仿宋_GB2312"/>
          <w:sz w:val="24"/>
          <w:szCs w:val="24"/>
          <w:u w:val="single"/>
        </w:rPr>
      </w:pPr>
      <w:r>
        <w:rPr>
          <w:rFonts w:hint="eastAsia" w:eastAsia="仿宋_GB2312"/>
          <w:sz w:val="24"/>
          <w:szCs w:val="24"/>
          <w:u w:val="single"/>
        </w:rPr>
        <w:t xml:space="preserve"> （1）已标价工程量清单或预算书有相同项目的，按照相同项目单价认定；</w:t>
      </w:r>
    </w:p>
    <w:p w14:paraId="674EC489">
      <w:pPr>
        <w:adjustRightInd w:val="0"/>
        <w:snapToGrid w:val="0"/>
        <w:spacing w:line="300" w:lineRule="auto"/>
        <w:ind w:firstLine="480" w:firstLineChars="200"/>
        <w:jc w:val="left"/>
        <w:rPr>
          <w:rFonts w:eastAsia="仿宋_GB2312"/>
          <w:sz w:val="24"/>
          <w:szCs w:val="24"/>
          <w:u w:val="single"/>
        </w:rPr>
      </w:pPr>
      <w:r>
        <w:rPr>
          <w:rFonts w:hint="eastAsia" w:eastAsia="仿宋_GB2312"/>
          <w:sz w:val="24"/>
          <w:szCs w:val="24"/>
          <w:u w:val="single"/>
        </w:rPr>
        <w:t>（2）已标价工程量清单或预算书中无相同项目，但有类似项目的，参照类似项目的单价认定；</w:t>
      </w:r>
    </w:p>
    <w:p w14:paraId="2D2FCE5D">
      <w:pPr>
        <w:adjustRightInd w:val="0"/>
        <w:snapToGrid w:val="0"/>
        <w:spacing w:line="300" w:lineRule="auto"/>
        <w:ind w:firstLine="480" w:firstLineChars="200"/>
        <w:jc w:val="left"/>
        <w:rPr>
          <w:rFonts w:eastAsia="仿宋_GB2312"/>
          <w:sz w:val="24"/>
          <w:szCs w:val="24"/>
          <w:u w:val="single"/>
        </w:rPr>
      </w:pPr>
      <w:r>
        <w:rPr>
          <w:rFonts w:hint="eastAsia" w:eastAsia="仿宋_GB2312"/>
          <w:sz w:val="24"/>
          <w:szCs w:val="24"/>
          <w:u w:val="single"/>
        </w:rPr>
        <w:t>（3）已标价工程量清单中无相同项目，也没有类似项目的，由承包人根据工程变更资料、计量规则和计价办法、工程造价管理机构发布的信息价格和承包人报价浮动率提出变更工程项目的单价，报发包人确认后调整。承包人报价浮动率＝（1-中标价/预算价）*100%，工程造价管理机构发布的信息价格中缺项中，按发承包双方共同询价、认价的方式，按照合理的成本与利润构成的原则确定，并签署书面的认价文件，作为依据。如变更实施时不能达成一致，应先行实施，并按照通用条款第</w:t>
      </w:r>
      <w:r>
        <w:rPr>
          <w:rFonts w:eastAsia="仿宋_GB2312"/>
          <w:sz w:val="24"/>
          <w:szCs w:val="24"/>
          <w:u w:val="single"/>
        </w:rPr>
        <w:t>4.4</w:t>
      </w:r>
      <w:r>
        <w:rPr>
          <w:rFonts w:hint="eastAsia" w:eastAsia="仿宋_GB2312"/>
          <w:sz w:val="24"/>
          <w:szCs w:val="24"/>
          <w:u w:val="single"/>
        </w:rPr>
        <w:t>款</w:t>
      </w:r>
      <w:r>
        <w:rPr>
          <w:rFonts w:hint="eastAsia" w:ascii="宋体" w:hAnsi="宋体" w:cs="宋体"/>
          <w:sz w:val="24"/>
          <w:szCs w:val="24"/>
          <w:u w:val="single"/>
        </w:rPr>
        <w:t>„</w:t>
      </w:r>
      <w:r>
        <w:rPr>
          <w:rFonts w:hint="eastAsia" w:ascii="黑体" w:hAnsi="黑体" w:eastAsia="黑体" w:cs="黑体"/>
          <w:sz w:val="24"/>
          <w:szCs w:val="24"/>
          <w:u w:val="single"/>
        </w:rPr>
        <w:t>商定或确定</w:t>
      </w:r>
      <w:r>
        <w:rPr>
          <w:rFonts w:eastAsia="仿宋_GB2312"/>
          <w:sz w:val="24"/>
          <w:szCs w:val="24"/>
          <w:u w:val="single"/>
        </w:rPr>
        <w:t>‟</w:t>
      </w:r>
      <w:r>
        <w:rPr>
          <w:rFonts w:hint="eastAsia" w:eastAsia="仿宋_GB2312"/>
          <w:sz w:val="24"/>
          <w:szCs w:val="24"/>
          <w:u w:val="single"/>
        </w:rPr>
        <w:t>执行。</w:t>
      </w:r>
    </w:p>
    <w:p w14:paraId="089F03CE">
      <w:pPr>
        <w:adjustRightInd w:val="0"/>
        <w:snapToGrid w:val="0"/>
        <w:spacing w:line="300" w:lineRule="auto"/>
        <w:ind w:firstLine="480" w:firstLineChars="200"/>
        <w:jc w:val="left"/>
        <w:rPr>
          <w:rFonts w:eastAsia="仿宋_GB2312"/>
          <w:sz w:val="24"/>
          <w:szCs w:val="24"/>
          <w:u w:val="single"/>
        </w:rPr>
      </w:pPr>
      <w:r>
        <w:rPr>
          <w:rFonts w:hint="eastAsia" w:eastAsia="仿宋_GB2312"/>
          <w:sz w:val="24"/>
          <w:szCs w:val="24"/>
          <w:u w:val="single"/>
        </w:rPr>
        <w:t>（</w:t>
      </w:r>
      <w:r>
        <w:rPr>
          <w:rFonts w:eastAsia="仿宋_GB2312"/>
          <w:sz w:val="24"/>
          <w:szCs w:val="24"/>
          <w:u w:val="single"/>
        </w:rPr>
        <w:t>4</w:t>
      </w:r>
      <w:r>
        <w:rPr>
          <w:rFonts w:hint="eastAsia" w:eastAsia="仿宋_GB2312"/>
          <w:sz w:val="24"/>
          <w:szCs w:val="24"/>
          <w:u w:val="single"/>
        </w:rPr>
        <w:t>）招标工程量清单工程量误差或工程变更导致实际完成的工程量与已标价工程量清单中列明的该项目工程量的变化幅度超过</w:t>
      </w:r>
      <w:r>
        <w:rPr>
          <w:rFonts w:eastAsia="仿宋_GB2312"/>
          <w:sz w:val="24"/>
          <w:szCs w:val="24"/>
          <w:u w:val="single"/>
        </w:rPr>
        <w:t>15%</w:t>
      </w:r>
      <w:r>
        <w:rPr>
          <w:rFonts w:hint="eastAsia" w:eastAsia="仿宋_GB2312"/>
          <w:sz w:val="24"/>
          <w:szCs w:val="24"/>
          <w:u w:val="single"/>
        </w:rPr>
        <w:t>的，单价可进行调整。当工程量增加</w:t>
      </w:r>
      <w:r>
        <w:rPr>
          <w:rFonts w:eastAsia="仿宋_GB2312"/>
          <w:sz w:val="24"/>
          <w:szCs w:val="24"/>
          <w:u w:val="single"/>
        </w:rPr>
        <w:t>15%</w:t>
      </w:r>
      <w:r>
        <w:rPr>
          <w:rFonts w:hint="eastAsia" w:eastAsia="仿宋_GB2312"/>
          <w:sz w:val="24"/>
          <w:szCs w:val="24"/>
          <w:u w:val="single"/>
        </w:rPr>
        <w:t>以上时，增加部分的工程量综合单价应予调低；当工程量减少</w:t>
      </w:r>
      <w:r>
        <w:rPr>
          <w:rFonts w:eastAsia="仿宋_GB2312"/>
          <w:sz w:val="24"/>
          <w:szCs w:val="24"/>
          <w:u w:val="single"/>
        </w:rPr>
        <w:t>15%</w:t>
      </w:r>
      <w:r>
        <w:rPr>
          <w:rFonts w:hint="eastAsia" w:eastAsia="仿宋_GB2312"/>
          <w:sz w:val="24"/>
          <w:szCs w:val="24"/>
          <w:u w:val="single"/>
        </w:rPr>
        <w:t>以上时，减少后部分的工程量综合单价应予调高。</w:t>
      </w:r>
    </w:p>
    <w:p w14:paraId="571A76E6">
      <w:pPr>
        <w:adjustRightInd w:val="0"/>
        <w:snapToGrid w:val="0"/>
        <w:spacing w:line="300" w:lineRule="auto"/>
        <w:ind w:firstLine="480" w:firstLineChars="200"/>
        <w:jc w:val="left"/>
        <w:rPr>
          <w:rFonts w:eastAsia="仿宋_GB2312"/>
          <w:sz w:val="24"/>
          <w:szCs w:val="24"/>
          <w:u w:val="single"/>
        </w:rPr>
      </w:pPr>
      <w:r>
        <w:rPr>
          <w:rFonts w:hint="eastAsia" w:eastAsia="仿宋_GB2312"/>
          <w:sz w:val="24"/>
          <w:szCs w:val="24"/>
          <w:u w:val="single"/>
        </w:rPr>
        <w:t>（</w:t>
      </w:r>
      <w:r>
        <w:rPr>
          <w:rFonts w:eastAsia="仿宋_GB2312"/>
          <w:sz w:val="24"/>
          <w:szCs w:val="24"/>
          <w:u w:val="single"/>
        </w:rPr>
        <w:t>5</w:t>
      </w:r>
      <w:r>
        <w:rPr>
          <w:rFonts w:hint="eastAsia" w:eastAsia="仿宋_GB2312"/>
          <w:sz w:val="24"/>
          <w:szCs w:val="24"/>
          <w:u w:val="single"/>
        </w:rPr>
        <w:t>）招标工程量清单工程量误差或工程变更导致分部分项工程费的变化，总价措施项目中以费率报价的，费率不变；总价项目中以费用报价的，按投标时口径折算成费率。</w:t>
      </w:r>
    </w:p>
    <w:p w14:paraId="48710745">
      <w:pPr>
        <w:adjustRightInd w:val="0"/>
        <w:snapToGrid w:val="0"/>
        <w:spacing w:line="300" w:lineRule="auto"/>
        <w:ind w:firstLine="480" w:firstLineChars="200"/>
        <w:jc w:val="left"/>
        <w:rPr>
          <w:rFonts w:eastAsia="仿宋_GB2312"/>
          <w:sz w:val="24"/>
          <w:szCs w:val="24"/>
          <w:u w:val="single"/>
        </w:rPr>
      </w:pPr>
      <w:r>
        <w:rPr>
          <w:rFonts w:hint="eastAsia" w:eastAsia="仿宋_GB2312"/>
          <w:sz w:val="24"/>
          <w:szCs w:val="24"/>
          <w:u w:val="single"/>
        </w:rPr>
        <w:t>（</w:t>
      </w:r>
      <w:r>
        <w:rPr>
          <w:rFonts w:eastAsia="仿宋_GB2312"/>
          <w:sz w:val="24"/>
          <w:szCs w:val="24"/>
          <w:u w:val="single"/>
        </w:rPr>
        <w:t>6</w:t>
      </w:r>
      <w:r>
        <w:rPr>
          <w:rFonts w:hint="eastAsia" w:eastAsia="仿宋_GB2312"/>
          <w:sz w:val="24"/>
          <w:szCs w:val="24"/>
          <w:u w:val="single"/>
        </w:rPr>
        <w:t>）因工程变更造成施工方案变更，引起措施项目发生变化时，承包人提出调整措施项目费的，应事先将拟实施的方案提交发包人确认，并应详细说明与原方案措施项目相比的变化情况。拟实施的方案经发承包双方确认后执行，并应按照下列规定调整措施项目费：</w:t>
      </w:r>
      <w:r>
        <w:rPr>
          <w:rFonts w:eastAsia="仿宋_GB2312"/>
          <w:sz w:val="24"/>
          <w:szCs w:val="24"/>
          <w:u w:val="single"/>
        </w:rPr>
        <w:t>1</w:t>
      </w:r>
      <w:r>
        <w:rPr>
          <w:rFonts w:hint="eastAsia" w:eastAsia="仿宋_GB2312"/>
          <w:sz w:val="24"/>
          <w:szCs w:val="24"/>
          <w:u w:val="single"/>
        </w:rPr>
        <w:t>、单价措施项目变更原则同分部分项工程；</w:t>
      </w:r>
      <w:r>
        <w:rPr>
          <w:rFonts w:eastAsia="仿宋_GB2312"/>
          <w:sz w:val="24"/>
          <w:szCs w:val="24"/>
          <w:u w:val="single"/>
        </w:rPr>
        <w:t>2</w:t>
      </w:r>
      <w:r>
        <w:rPr>
          <w:rFonts w:hint="eastAsia" w:eastAsia="仿宋_GB2312"/>
          <w:sz w:val="24"/>
          <w:szCs w:val="24"/>
          <w:u w:val="single"/>
        </w:rPr>
        <w:t>、总价措施项目中以费率报价的，费率不变；</w:t>
      </w:r>
      <w:r>
        <w:rPr>
          <w:rFonts w:eastAsia="仿宋_GB2312"/>
          <w:sz w:val="24"/>
          <w:szCs w:val="24"/>
          <w:u w:val="single"/>
        </w:rPr>
        <w:t>3</w:t>
      </w:r>
      <w:r>
        <w:rPr>
          <w:rFonts w:hint="eastAsia" w:eastAsia="仿宋_GB2312"/>
          <w:sz w:val="24"/>
          <w:szCs w:val="24"/>
          <w:u w:val="single"/>
        </w:rPr>
        <w:t>、总价项目中以费用报价的，按投标时口径折算成费率；</w:t>
      </w:r>
      <w:r>
        <w:rPr>
          <w:rFonts w:eastAsia="仿宋_GB2312"/>
          <w:sz w:val="24"/>
          <w:szCs w:val="24"/>
          <w:u w:val="single"/>
        </w:rPr>
        <w:t>4</w:t>
      </w:r>
      <w:r>
        <w:rPr>
          <w:rFonts w:hint="eastAsia" w:eastAsia="仿宋_GB2312"/>
          <w:sz w:val="24"/>
          <w:szCs w:val="24"/>
          <w:u w:val="single"/>
        </w:rPr>
        <w:t>、原措施费中没有的措施项目，由承包人提出适当的措施变更要求，经发包人确认后调整；</w:t>
      </w:r>
      <w:r>
        <w:rPr>
          <w:rFonts w:eastAsia="仿宋_GB2312"/>
          <w:sz w:val="24"/>
          <w:szCs w:val="24"/>
          <w:u w:val="single"/>
        </w:rPr>
        <w:t>5</w:t>
      </w:r>
      <w:r>
        <w:rPr>
          <w:rFonts w:hint="eastAsia" w:eastAsia="仿宋_GB2312"/>
          <w:sz w:val="24"/>
          <w:szCs w:val="24"/>
          <w:u w:val="single"/>
        </w:rPr>
        <w:t>、如果承包人未事先将拟实施的方案提交给发包人确认，则应视为工程变更不引起措施项目费的调整或承包人放弃调整措施项目费的权利。</w:t>
      </w:r>
    </w:p>
    <w:p w14:paraId="378B951F">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Start w:id="312" w:name="_Toc297123544"/>
      <w:bookmarkStart w:id="313" w:name="_Toc296891237"/>
      <w:bookmarkStart w:id="314" w:name="_Toc296503197"/>
      <w:bookmarkStart w:id="315" w:name="_Toc292559907"/>
      <w:bookmarkStart w:id="316" w:name="_Toc297048383"/>
      <w:bookmarkStart w:id="317" w:name="_Toc303539150"/>
      <w:bookmarkStart w:id="318" w:name="_Toc296891025"/>
      <w:bookmarkStart w:id="319" w:name="_Toc300934993"/>
      <w:bookmarkStart w:id="320" w:name="_Toc296347196"/>
      <w:bookmarkStart w:id="321" w:name="_Toc297120497"/>
      <w:bookmarkStart w:id="322" w:name="_Toc296346698"/>
      <w:bookmarkStart w:id="323" w:name="_Toc296944536"/>
      <w:bookmarkStart w:id="324" w:name="_Toc297216203"/>
      <w:bookmarkStart w:id="325" w:name="_Toc292559402"/>
      <w:bookmarkStart w:id="326" w:name="_Toc304295570"/>
      <w:bookmarkStart w:id="327" w:name="_Toc312677503"/>
      <w:bookmarkStart w:id="328" w:name="_Toc312678029"/>
      <w:r>
        <w:rPr>
          <w:rFonts w:ascii="Verdana" w:hAnsi="Verdana" w:eastAsia="黑体"/>
          <w:sz w:val="24"/>
          <w:szCs w:val="24"/>
        </w:rPr>
        <w:t>0.5承</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Start w:id="329" w:name="_Toc297120503"/>
      <w:bookmarkStart w:id="330" w:name="_Toc297048389"/>
      <w:bookmarkStart w:id="331" w:name="_Toc296346704"/>
      <w:bookmarkStart w:id="332" w:name="_Toc303539151"/>
      <w:bookmarkStart w:id="333" w:name="_Toc300934994"/>
      <w:bookmarkStart w:id="334" w:name="_Toc297123545"/>
      <w:bookmarkStart w:id="335" w:name="_Toc292559408"/>
      <w:bookmarkStart w:id="336" w:name="_Toc296944542"/>
      <w:bookmarkStart w:id="337" w:name="_Toc297216204"/>
      <w:bookmarkStart w:id="338" w:name="_Toc296347202"/>
      <w:bookmarkStart w:id="339" w:name="_Toc296891243"/>
      <w:bookmarkStart w:id="340" w:name="_Toc292559913"/>
      <w:bookmarkStart w:id="341" w:name="_Toc296503203"/>
      <w:bookmarkStart w:id="342" w:name="_Toc296891031"/>
      <w:r>
        <w:rPr>
          <w:rFonts w:ascii="Verdana" w:hAnsi="Verdana" w:eastAsia="黑体"/>
          <w:sz w:val="24"/>
          <w:szCs w:val="24"/>
        </w:rPr>
        <w:t>包人的合理化建议</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319E6B2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监理人审查承包人合理化建议的期限：</w:t>
      </w:r>
      <w:r>
        <w:rPr>
          <w:rFonts w:ascii="Verdana" w:hAnsi="Verdana" w:eastAsia="仿宋_GB2312"/>
          <w:sz w:val="24"/>
          <w:szCs w:val="24"/>
          <w:u w:val="single"/>
        </w:rPr>
        <w:t>执行通用合同条款</w:t>
      </w:r>
      <w:r>
        <w:rPr>
          <w:rFonts w:ascii="Verdana" w:hAnsi="Verdana" w:eastAsia="仿宋_GB2312"/>
          <w:sz w:val="24"/>
          <w:szCs w:val="24"/>
        </w:rPr>
        <w:t>。</w:t>
      </w:r>
    </w:p>
    <w:p w14:paraId="4EBDB03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发包人审批承包人合理化建议的期限：</w:t>
      </w:r>
      <w:r>
        <w:rPr>
          <w:rFonts w:ascii="Verdana" w:hAnsi="Verdana" w:eastAsia="仿宋_GB2312"/>
          <w:sz w:val="24"/>
          <w:szCs w:val="24"/>
          <w:u w:val="single"/>
        </w:rPr>
        <w:t>执行通用合同条款</w:t>
      </w:r>
      <w:r>
        <w:rPr>
          <w:rFonts w:ascii="Verdana" w:hAnsi="Verdana" w:eastAsia="仿宋_GB2312"/>
          <w:sz w:val="24"/>
          <w:szCs w:val="24"/>
        </w:rPr>
        <w:t>。</w:t>
      </w:r>
    </w:p>
    <w:p w14:paraId="1E254248">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承</w:t>
      </w:r>
      <w:bookmarkStart w:id="343" w:name="_Toc297123546"/>
      <w:bookmarkStart w:id="344" w:name="_Toc296891244"/>
      <w:bookmarkStart w:id="345" w:name="_Toc296347203"/>
      <w:bookmarkStart w:id="346" w:name="_Toc312677504"/>
      <w:bookmarkStart w:id="347" w:name="_Toc318581175"/>
      <w:bookmarkStart w:id="348" w:name="_Toc296891032"/>
      <w:bookmarkStart w:id="349" w:name="_Toc300934995"/>
      <w:bookmarkStart w:id="350" w:name="_Toc296503204"/>
      <w:bookmarkStart w:id="351" w:name="_Toc304295571"/>
      <w:bookmarkStart w:id="352" w:name="_Toc292559409"/>
      <w:bookmarkStart w:id="353" w:name="_Toc296346705"/>
      <w:bookmarkStart w:id="354" w:name="_Toc312678030"/>
      <w:bookmarkStart w:id="355" w:name="_Toc297048390"/>
      <w:bookmarkStart w:id="356" w:name="_Toc297120504"/>
      <w:bookmarkStart w:id="357" w:name="_Toc292559914"/>
      <w:bookmarkStart w:id="358" w:name="_Toc296944543"/>
      <w:bookmarkStart w:id="359" w:name="_Toc297216205"/>
      <w:bookmarkStart w:id="360" w:name="_Toc303539152"/>
      <w:r>
        <w:rPr>
          <w:rFonts w:ascii="Verdana" w:hAnsi="Verdana" w:eastAsia="仿宋_GB2312"/>
          <w:sz w:val="24"/>
          <w:szCs w:val="24"/>
        </w:rPr>
        <w:t>包人提出的合理化建议降低了合同价格或者提高了工程经济效益的奖励的方法和金额为：</w:t>
      </w:r>
      <w:r>
        <w:rPr>
          <w:rFonts w:ascii="Verdana" w:hAnsi="Verdana" w:eastAsia="仿宋_GB2312"/>
          <w:sz w:val="24"/>
          <w:szCs w:val="24"/>
          <w:u w:val="single"/>
        </w:rPr>
        <w:t xml:space="preserve">/     </w:t>
      </w:r>
      <w:r>
        <w:rPr>
          <w:rFonts w:ascii="Verdana" w:hAnsi="Verdana" w:eastAsia="仿宋_GB2312"/>
          <w:sz w:val="24"/>
          <w:szCs w:val="24"/>
        </w:rPr>
        <w:t>。</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14:paraId="77ED2355">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w:t>
      </w:r>
      <w:bookmarkStart w:id="361" w:name="_Toc303539154"/>
      <w:bookmarkStart w:id="362" w:name="_Toc312678033"/>
      <w:bookmarkStart w:id="363" w:name="_Toc297120499"/>
      <w:bookmarkStart w:id="364" w:name="_Toc296347198"/>
      <w:bookmarkStart w:id="365" w:name="_Toc292559404"/>
      <w:bookmarkStart w:id="366" w:name="_Toc297216207"/>
      <w:bookmarkStart w:id="367" w:name="_Toc296503199"/>
      <w:bookmarkStart w:id="368" w:name="_Toc296891027"/>
      <w:bookmarkStart w:id="369" w:name="_Toc304295574"/>
      <w:bookmarkStart w:id="370" w:name="_Toc297048385"/>
      <w:bookmarkStart w:id="371" w:name="_Toc300934997"/>
      <w:bookmarkStart w:id="372" w:name="_Toc296346700"/>
      <w:bookmarkStart w:id="373" w:name="_Toc297123548"/>
      <w:bookmarkStart w:id="374" w:name="_Toc296891239"/>
      <w:bookmarkStart w:id="375" w:name="_Toc296944538"/>
      <w:bookmarkStart w:id="376" w:name="_Toc292559909"/>
      <w:bookmarkStart w:id="377" w:name="_Toc312677507"/>
      <w:r>
        <w:rPr>
          <w:rFonts w:ascii="Verdana" w:hAnsi="Verdana" w:eastAsia="黑体"/>
          <w:sz w:val="24"/>
          <w:szCs w:val="24"/>
        </w:rPr>
        <w:t>0.7 暂估价</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02E65F8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暂</w:t>
      </w:r>
      <w:bookmarkStart w:id="378" w:name="_Toc312678034"/>
      <w:bookmarkStart w:id="379" w:name="_Toc318581176"/>
      <w:bookmarkStart w:id="380" w:name="_Toc312677508"/>
      <w:r>
        <w:rPr>
          <w:rFonts w:ascii="Verdana" w:hAnsi="Verdana" w:eastAsia="仿宋_GB2312"/>
          <w:sz w:val="24"/>
          <w:szCs w:val="24"/>
        </w:rPr>
        <w:t>估价材料和工程设备的明细详见附件11：《暂估价一览表》。</w:t>
      </w:r>
    </w:p>
    <w:bookmarkEnd w:id="378"/>
    <w:bookmarkEnd w:id="379"/>
    <w:bookmarkEnd w:id="380"/>
    <w:p w14:paraId="57389C5A">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10.8 暂列金额</w:t>
      </w:r>
    </w:p>
    <w:p w14:paraId="53B31AED">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合同当事人关于暂列金额使用的约定：</w:t>
      </w:r>
      <w:r>
        <w:rPr>
          <w:rFonts w:ascii="Verdana" w:hAnsi="Verdana" w:eastAsia="仿宋_GB2312"/>
          <w:sz w:val="24"/>
          <w:szCs w:val="24"/>
          <w:u w:val="single"/>
        </w:rPr>
        <w:t xml:space="preserve">                  </w:t>
      </w:r>
      <w:r>
        <w:rPr>
          <w:rFonts w:ascii="Verdana" w:hAnsi="Verdana" w:eastAsia="仿宋_GB2312"/>
          <w:sz w:val="24"/>
          <w:szCs w:val="24"/>
        </w:rPr>
        <w:t>。</w:t>
      </w:r>
    </w:p>
    <w:p w14:paraId="78093ECE">
      <w:pPr>
        <w:pStyle w:val="5"/>
        <w:adjustRightInd w:val="0"/>
        <w:snapToGrid w:val="0"/>
        <w:spacing w:before="120" w:after="120" w:line="300" w:lineRule="auto"/>
        <w:jc w:val="left"/>
        <w:rPr>
          <w:rFonts w:ascii="Verdana" w:hAnsi="Verdana"/>
          <w:b/>
          <w:sz w:val="24"/>
          <w:szCs w:val="24"/>
        </w:rPr>
      </w:pPr>
      <w:bookmarkStart w:id="381" w:name="_Toc351203643"/>
      <w:r>
        <w:rPr>
          <w:rFonts w:ascii="Verdana" w:hAnsi="Verdana"/>
          <w:sz w:val="24"/>
          <w:szCs w:val="24"/>
        </w:rPr>
        <w:t>11. 价格调整</w:t>
      </w:r>
      <w:bookmarkEnd w:id="381"/>
    </w:p>
    <w:p w14:paraId="540F3FCE">
      <w:pPr>
        <w:adjustRightInd w:val="0"/>
        <w:snapToGrid w:val="0"/>
        <w:spacing w:after="120" w:line="300" w:lineRule="auto"/>
        <w:ind w:firstLine="480" w:firstLineChars="200"/>
        <w:rPr>
          <w:rFonts w:ascii="Verdana" w:hAnsi="Verdana" w:eastAsia="黑体"/>
          <w:sz w:val="24"/>
          <w:szCs w:val="24"/>
        </w:rPr>
      </w:pPr>
      <w:bookmarkStart w:id="382" w:name="_Toc292559911"/>
      <w:bookmarkStart w:id="383" w:name="_Toc296503201"/>
      <w:bookmarkStart w:id="384" w:name="_Toc297123550"/>
      <w:bookmarkStart w:id="385" w:name="_Toc297120501"/>
      <w:bookmarkStart w:id="386" w:name="_Toc304295577"/>
      <w:bookmarkStart w:id="387" w:name="_Toc297048387"/>
      <w:bookmarkStart w:id="388" w:name="_Toc296347200"/>
      <w:bookmarkStart w:id="389" w:name="_Toc296891029"/>
      <w:bookmarkStart w:id="390" w:name="_Toc303539157"/>
      <w:bookmarkStart w:id="391" w:name="_Toc312678039"/>
      <w:bookmarkStart w:id="392" w:name="_Toc296346702"/>
      <w:bookmarkStart w:id="393" w:name="_Toc292559406"/>
      <w:bookmarkStart w:id="394" w:name="_Toc300935000"/>
      <w:bookmarkStart w:id="395" w:name="_Toc297216209"/>
      <w:bookmarkStart w:id="396" w:name="_Toc296944540"/>
      <w:bookmarkStart w:id="397" w:name="_Toc296891241"/>
      <w:r>
        <w:rPr>
          <w:rFonts w:ascii="Verdana" w:hAnsi="Verdana" w:eastAsia="黑体"/>
          <w:sz w:val="24"/>
          <w:szCs w:val="24"/>
        </w:rPr>
        <w:t>11.1 市场价格波动引起的调整</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0C4A609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市场价格波动是否调整合同价格的约定：</w:t>
      </w:r>
      <w:r>
        <w:rPr>
          <w:rFonts w:ascii="Verdana" w:hAnsi="Verdana" w:eastAsia="仿宋_GB2312"/>
          <w:sz w:val="24"/>
          <w:szCs w:val="24"/>
          <w:u w:val="single"/>
        </w:rPr>
        <w:t>材料价格按苏建价【2008】67号文《关于加强建筑材料价格风险控制的指导意见》执行，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r>
        <w:rPr>
          <w:rFonts w:ascii="Verdana" w:hAnsi="Verdana" w:eastAsia="仿宋_GB2312"/>
          <w:sz w:val="24"/>
          <w:szCs w:val="24"/>
        </w:rPr>
        <w:t>。</w:t>
      </w:r>
    </w:p>
    <w:bookmarkEnd w:id="288"/>
    <w:bookmarkEnd w:id="289"/>
    <w:bookmarkEnd w:id="290"/>
    <w:bookmarkEnd w:id="291"/>
    <w:bookmarkEnd w:id="292"/>
    <w:bookmarkEnd w:id="293"/>
    <w:p w14:paraId="40964140">
      <w:pPr>
        <w:pStyle w:val="5"/>
        <w:adjustRightInd w:val="0"/>
        <w:snapToGrid w:val="0"/>
        <w:spacing w:before="120" w:after="120" w:line="300" w:lineRule="auto"/>
        <w:jc w:val="left"/>
        <w:rPr>
          <w:rFonts w:ascii="Verdana" w:hAnsi="Verdana"/>
          <w:b/>
          <w:sz w:val="24"/>
          <w:szCs w:val="24"/>
        </w:rPr>
      </w:pPr>
      <w:bookmarkStart w:id="398" w:name="_Toc296346706"/>
      <w:bookmarkStart w:id="399" w:name="_Toc296891245"/>
      <w:bookmarkStart w:id="400" w:name="_Toc296347204"/>
      <w:bookmarkStart w:id="401" w:name="_Toc292559915"/>
      <w:bookmarkStart w:id="402" w:name="_Toc296503205"/>
      <w:bookmarkStart w:id="403" w:name="_Toc296891033"/>
      <w:bookmarkStart w:id="404" w:name="_Toc292559410"/>
      <w:bookmarkStart w:id="405" w:name="_Toc296944544"/>
      <w:bookmarkStart w:id="406" w:name="_Toc297120505"/>
      <w:bookmarkStart w:id="407" w:name="_Toc297048391"/>
      <w:bookmarkStart w:id="408" w:name="_Toc351203644"/>
      <w:bookmarkStart w:id="409" w:name="_Toc304295579"/>
      <w:bookmarkStart w:id="410" w:name="_Toc300935002"/>
      <w:bookmarkStart w:id="411" w:name="_Toc297123552"/>
      <w:bookmarkStart w:id="412" w:name="_Toc297216211"/>
      <w:bookmarkStart w:id="413" w:name="_Toc312678040"/>
      <w:bookmarkStart w:id="414" w:name="_Toc303539159"/>
      <w:r>
        <w:rPr>
          <w:rFonts w:ascii="Verdana" w:hAnsi="Verdana"/>
          <w:sz w:val="24"/>
          <w:szCs w:val="24"/>
        </w:rPr>
        <w:t xml:space="preserve">12. </w:t>
      </w:r>
      <w:bookmarkEnd w:id="398"/>
      <w:bookmarkEnd w:id="399"/>
      <w:bookmarkEnd w:id="400"/>
      <w:bookmarkEnd w:id="401"/>
      <w:bookmarkEnd w:id="402"/>
      <w:bookmarkEnd w:id="403"/>
      <w:bookmarkEnd w:id="404"/>
      <w:bookmarkEnd w:id="405"/>
      <w:bookmarkEnd w:id="406"/>
      <w:bookmarkEnd w:id="407"/>
      <w:r>
        <w:rPr>
          <w:rFonts w:ascii="Verdana" w:hAnsi="Verdana"/>
          <w:sz w:val="24"/>
          <w:szCs w:val="24"/>
        </w:rPr>
        <w:t>合同价格、计量与支付</w:t>
      </w:r>
      <w:bookmarkEnd w:id="408"/>
    </w:p>
    <w:bookmarkEnd w:id="409"/>
    <w:bookmarkEnd w:id="410"/>
    <w:bookmarkEnd w:id="411"/>
    <w:bookmarkEnd w:id="412"/>
    <w:bookmarkEnd w:id="413"/>
    <w:bookmarkEnd w:id="414"/>
    <w:p w14:paraId="7FC085ED">
      <w:pPr>
        <w:adjustRightInd w:val="0"/>
        <w:snapToGrid w:val="0"/>
        <w:spacing w:after="120" w:line="300" w:lineRule="auto"/>
        <w:ind w:firstLine="480" w:firstLineChars="200"/>
        <w:rPr>
          <w:rFonts w:ascii="Verdana" w:hAnsi="Verdana" w:eastAsia="黑体"/>
          <w:sz w:val="24"/>
          <w:szCs w:val="24"/>
        </w:rPr>
      </w:pPr>
      <w:bookmarkStart w:id="415" w:name="_Toc292559411"/>
      <w:bookmarkStart w:id="416" w:name="_Toc292559916"/>
      <w:bookmarkStart w:id="417" w:name="_Toc267251461"/>
      <w:bookmarkStart w:id="418" w:name="_Toc297120506"/>
      <w:bookmarkStart w:id="419" w:name="_Toc296944545"/>
      <w:bookmarkStart w:id="420" w:name="_Toc296891246"/>
      <w:bookmarkStart w:id="421" w:name="_Toc296503206"/>
      <w:bookmarkStart w:id="422" w:name="_Toc296347205"/>
      <w:bookmarkStart w:id="423" w:name="_Toc296346707"/>
      <w:bookmarkStart w:id="424" w:name="_Toc296891034"/>
      <w:bookmarkStart w:id="425" w:name="_Toc297048392"/>
      <w:bookmarkStart w:id="426" w:name="_Toc304295580"/>
      <w:bookmarkStart w:id="427" w:name="_Toc300935003"/>
      <w:bookmarkStart w:id="428" w:name="_Toc303539160"/>
      <w:bookmarkStart w:id="429" w:name="_Toc297123553"/>
      <w:bookmarkStart w:id="430" w:name="_Toc312678041"/>
      <w:bookmarkStart w:id="431" w:name="_Toc297216212"/>
      <w:r>
        <w:rPr>
          <w:rFonts w:ascii="Verdana" w:hAnsi="Verdana" w:eastAsia="黑体"/>
          <w:sz w:val="24"/>
          <w:szCs w:val="24"/>
        </w:rPr>
        <w:t>12.1 合</w:t>
      </w:r>
      <w:bookmarkEnd w:id="415"/>
      <w:bookmarkEnd w:id="416"/>
      <w:bookmarkEnd w:id="417"/>
      <w:r>
        <w:rPr>
          <w:rFonts w:ascii="Verdana" w:hAnsi="Verdana" w:eastAsia="黑体"/>
          <w:sz w:val="24"/>
          <w:szCs w:val="24"/>
        </w:rPr>
        <w:t>同价</w:t>
      </w:r>
      <w:bookmarkEnd w:id="418"/>
      <w:bookmarkEnd w:id="419"/>
      <w:bookmarkEnd w:id="420"/>
      <w:bookmarkEnd w:id="421"/>
      <w:bookmarkEnd w:id="422"/>
      <w:bookmarkEnd w:id="423"/>
      <w:bookmarkEnd w:id="424"/>
      <w:bookmarkEnd w:id="425"/>
      <w:r>
        <w:rPr>
          <w:rFonts w:ascii="Verdana" w:hAnsi="Verdana" w:eastAsia="黑体"/>
          <w:sz w:val="24"/>
          <w:szCs w:val="24"/>
        </w:rPr>
        <w:t>格形式</w:t>
      </w:r>
    </w:p>
    <w:bookmarkEnd w:id="426"/>
    <w:bookmarkEnd w:id="427"/>
    <w:bookmarkEnd w:id="428"/>
    <w:bookmarkEnd w:id="429"/>
    <w:bookmarkEnd w:id="430"/>
    <w:bookmarkEnd w:id="431"/>
    <w:p w14:paraId="6CD5115C">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1、单价合同。</w:t>
      </w:r>
    </w:p>
    <w:p w14:paraId="3C3CD0AA">
      <w:pPr>
        <w:autoSpaceDE w:val="0"/>
        <w:autoSpaceDN w:val="0"/>
        <w:adjustRightInd w:val="0"/>
        <w:ind w:left="359" w:leftChars="171" w:firstLine="480" w:firstLineChars="200"/>
        <w:rPr>
          <w:rFonts w:ascii="Verdana" w:hAnsi="Verdana"/>
          <w:sz w:val="24"/>
          <w:szCs w:val="24"/>
        </w:rPr>
      </w:pPr>
      <w:r>
        <w:rPr>
          <w:rFonts w:ascii="Verdana" w:hAnsi="Verdana" w:eastAsia="仿宋_GB2312"/>
          <w:sz w:val="24"/>
          <w:szCs w:val="24"/>
        </w:rPr>
        <w:t>综合单价包含的风险范围：</w:t>
      </w:r>
      <w:r>
        <w:rPr>
          <w:rFonts w:ascii="Verdana" w:hAnsi="Verdana" w:eastAsia="仿宋_GB2312"/>
          <w:sz w:val="24"/>
          <w:szCs w:val="24"/>
          <w:u w:val="single"/>
        </w:rPr>
        <w:t>根据施工场地条件、所采取的施工组织措施、各种建材（风险调整范围内的）风险等，风险费用的计算方法：投标时将人工、机械、材料（风险调整范围内的风险，政策性人工费调整除外）、措施费、间接费等多方面的风险一并考虑在合同单价中，以后不予调整</w:t>
      </w:r>
      <w:r>
        <w:rPr>
          <w:rFonts w:ascii="Verdana" w:hAnsi="Verdana" w:eastAsia="仿宋_GB2312"/>
          <w:sz w:val="24"/>
          <w:szCs w:val="24"/>
        </w:rPr>
        <w:t>。</w:t>
      </w:r>
    </w:p>
    <w:p w14:paraId="70C78839">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风险费用的计算方法：</w:t>
      </w:r>
      <w:r>
        <w:rPr>
          <w:rFonts w:ascii="Verdana" w:hAnsi="Verdana" w:eastAsia="仿宋_GB2312"/>
          <w:sz w:val="24"/>
          <w:szCs w:val="24"/>
          <w:u w:val="single"/>
        </w:rPr>
        <w:t>除发包人规定的和政策性文件规定的可以调整的范围外，其余均不予调差。</w:t>
      </w:r>
    </w:p>
    <w:p w14:paraId="76397803">
      <w:pPr>
        <w:autoSpaceDE w:val="0"/>
        <w:autoSpaceDN w:val="0"/>
        <w:adjustRightInd w:val="0"/>
        <w:ind w:left="359" w:leftChars="171" w:firstLine="480" w:firstLineChars="200"/>
        <w:rPr>
          <w:rFonts w:ascii="Verdana" w:hAnsi="Verdana" w:eastAsia="仿宋_GB2312"/>
          <w:sz w:val="24"/>
          <w:szCs w:val="24"/>
          <w:u w:val="single"/>
        </w:rPr>
      </w:pPr>
      <w:r>
        <w:rPr>
          <w:rFonts w:ascii="Verdana" w:hAnsi="Verdana" w:eastAsia="仿宋_GB2312"/>
          <w:sz w:val="24"/>
          <w:szCs w:val="24"/>
        </w:rPr>
        <w:t>风险范围以外合同价格的调整方法：</w:t>
      </w:r>
      <w:r>
        <w:rPr>
          <w:rFonts w:ascii="Verdana" w:hAnsi="Verdana" w:eastAsia="仿宋_GB2312"/>
          <w:sz w:val="24"/>
          <w:szCs w:val="24"/>
          <w:u w:val="single"/>
        </w:rPr>
        <w:t xml:space="preserve"> 1）由设计变更或招标人要求变动的内容引起的工程量清单已有项目的工程量的增加和减少，其相应综合单价按承包人投标报价中的价格执行；2）由设计变更或招标人要求变动的内容引起的新的工程量清单项目，由承包人在投标报价中有类似的于变更工程的价格可以参照此类工程价格执行，工程量按实计算；3）由设计变更或发包人要求变动的内容引起的新的工程量清单项目，承包人在投标报价中没有适用的，依据招标文件规定的报价原则，按照投标工程预算的编制方法提出相应综合单价，并经发包人确认后作为结算的依据；4）新增项目工程的工程量按实计算，其价格按照本条款第 1）、2）、3）条执行；5）所有设计变更或发包人要求变动的及新增项目工程的部分均按照投标报价让利值同比让利；6）设计变更、签证部分材料价格按苏建价【2008】67 号文《关于加强建筑材料价格风险控制的指导意见》执行。。</w:t>
      </w:r>
    </w:p>
    <w:p w14:paraId="79210B90">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2、总价合同。</w:t>
      </w:r>
    </w:p>
    <w:p w14:paraId="4A6BC7E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总价包含的风险范围：</w:t>
      </w:r>
      <w:r>
        <w:rPr>
          <w:rFonts w:ascii="Verdana" w:hAnsi="Verdana" w:eastAsia="仿宋_GB2312"/>
          <w:sz w:val="24"/>
          <w:szCs w:val="24"/>
          <w:u w:val="single"/>
        </w:rPr>
        <w:t>/</w:t>
      </w:r>
      <w:r>
        <w:rPr>
          <w:rFonts w:ascii="Verdana" w:hAnsi="Verdana" w:eastAsia="仿宋_GB2312"/>
          <w:sz w:val="24"/>
          <w:szCs w:val="24"/>
        </w:rPr>
        <w:t>。</w:t>
      </w:r>
    </w:p>
    <w:p w14:paraId="06C9FD3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风险费用的计算方法：</w:t>
      </w:r>
      <w:r>
        <w:rPr>
          <w:rFonts w:ascii="Verdana" w:hAnsi="Verdana" w:eastAsia="仿宋_GB2312"/>
          <w:sz w:val="24"/>
          <w:szCs w:val="24"/>
          <w:u w:val="single"/>
        </w:rPr>
        <w:t xml:space="preserve">/ </w:t>
      </w:r>
      <w:r>
        <w:rPr>
          <w:rFonts w:ascii="Verdana" w:hAnsi="Verdana" w:eastAsia="仿宋_GB2312"/>
          <w:sz w:val="24"/>
          <w:szCs w:val="24"/>
        </w:rPr>
        <w:t>。</w:t>
      </w:r>
    </w:p>
    <w:p w14:paraId="4B6C8255">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风险范围以外合同价格的调整方法：</w:t>
      </w:r>
      <w:r>
        <w:rPr>
          <w:rFonts w:ascii="Verdana" w:hAnsi="Verdana" w:eastAsia="仿宋_GB2312"/>
          <w:sz w:val="24"/>
          <w:szCs w:val="24"/>
          <w:u w:val="single"/>
        </w:rPr>
        <w:t>/</w:t>
      </w:r>
      <w:r>
        <w:rPr>
          <w:rFonts w:ascii="Verdana" w:hAnsi="Verdana" w:eastAsia="仿宋_GB2312"/>
          <w:sz w:val="24"/>
          <w:szCs w:val="24"/>
        </w:rPr>
        <w:t>。</w:t>
      </w:r>
    </w:p>
    <w:p w14:paraId="159A9D0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3、其他价格方式：</w:t>
      </w:r>
      <w:r>
        <w:rPr>
          <w:rFonts w:ascii="Verdana" w:hAnsi="Verdana" w:eastAsia="仿宋_GB2312"/>
          <w:sz w:val="24"/>
          <w:szCs w:val="24"/>
          <w:u w:val="single"/>
        </w:rPr>
        <w:t>/</w:t>
      </w:r>
      <w:r>
        <w:rPr>
          <w:rFonts w:ascii="Verdana" w:hAnsi="Verdana" w:eastAsia="仿宋_GB2312"/>
          <w:sz w:val="24"/>
          <w:szCs w:val="24"/>
        </w:rPr>
        <w:t>。</w:t>
      </w:r>
    </w:p>
    <w:p w14:paraId="6E91AEAA">
      <w:pPr>
        <w:adjustRightInd w:val="0"/>
        <w:snapToGrid w:val="0"/>
        <w:spacing w:after="120" w:line="300" w:lineRule="auto"/>
        <w:ind w:firstLine="480" w:firstLineChars="200"/>
        <w:rPr>
          <w:rFonts w:ascii="Verdana" w:hAnsi="Verdana" w:eastAsia="黑体"/>
          <w:sz w:val="24"/>
          <w:szCs w:val="24"/>
        </w:rPr>
      </w:pPr>
      <w:bookmarkStart w:id="432" w:name="_Toc312678042"/>
      <w:bookmarkStart w:id="433" w:name="_Toc297123554"/>
      <w:bookmarkStart w:id="434" w:name="_Toc300935004"/>
      <w:bookmarkStart w:id="435" w:name="_Toc304295581"/>
      <w:bookmarkStart w:id="436" w:name="_Toc297216213"/>
      <w:bookmarkStart w:id="437" w:name="_Toc303539161"/>
      <w:bookmarkStart w:id="438" w:name="_Toc296944546"/>
      <w:bookmarkStart w:id="439" w:name="_Toc296347206"/>
      <w:bookmarkStart w:id="440" w:name="_Toc296891035"/>
      <w:bookmarkStart w:id="441" w:name="_Toc297048393"/>
      <w:bookmarkStart w:id="442" w:name="_Toc292559412"/>
      <w:bookmarkStart w:id="443" w:name="_Toc296891247"/>
      <w:bookmarkStart w:id="444" w:name="_Toc292559917"/>
      <w:bookmarkStart w:id="445" w:name="_Toc296346708"/>
      <w:bookmarkStart w:id="446" w:name="_Toc296503207"/>
      <w:bookmarkStart w:id="447" w:name="_Toc297120507"/>
      <w:r>
        <w:rPr>
          <w:rFonts w:ascii="Verdana" w:hAnsi="Verdana" w:eastAsia="黑体"/>
          <w:sz w:val="24"/>
          <w:szCs w:val="24"/>
        </w:rPr>
        <w:t>12.2 预付款</w:t>
      </w:r>
    </w:p>
    <w:bookmarkEnd w:id="432"/>
    <w:bookmarkEnd w:id="433"/>
    <w:bookmarkEnd w:id="434"/>
    <w:bookmarkEnd w:id="435"/>
    <w:bookmarkEnd w:id="436"/>
    <w:bookmarkEnd w:id="437"/>
    <w:p w14:paraId="444CB5E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12.2.1 预付款的支付</w:t>
      </w:r>
    </w:p>
    <w:p w14:paraId="717818B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预付款支付比例或金额：</w:t>
      </w:r>
      <w:r>
        <w:rPr>
          <w:rFonts w:ascii="Verdana" w:hAnsi="Verdana" w:eastAsia="仿宋_GB2312"/>
          <w:sz w:val="24"/>
          <w:szCs w:val="24"/>
          <w:u w:val="single"/>
        </w:rPr>
        <w:t>/</w:t>
      </w:r>
      <w:r>
        <w:rPr>
          <w:rFonts w:ascii="Verdana" w:hAnsi="Verdana" w:eastAsia="仿宋_GB2312"/>
          <w:sz w:val="24"/>
          <w:szCs w:val="24"/>
        </w:rPr>
        <w:t>。</w:t>
      </w:r>
    </w:p>
    <w:bookmarkEnd w:id="438"/>
    <w:bookmarkEnd w:id="439"/>
    <w:bookmarkEnd w:id="440"/>
    <w:bookmarkEnd w:id="441"/>
    <w:bookmarkEnd w:id="442"/>
    <w:bookmarkEnd w:id="443"/>
    <w:bookmarkEnd w:id="444"/>
    <w:bookmarkEnd w:id="445"/>
    <w:bookmarkEnd w:id="446"/>
    <w:bookmarkEnd w:id="447"/>
    <w:p w14:paraId="0BCA1955">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12.3 计量</w:t>
      </w:r>
    </w:p>
    <w:p w14:paraId="7005FE1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12.3.1 计量原则</w:t>
      </w:r>
    </w:p>
    <w:p w14:paraId="5A41A22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工程量计算规则：</w:t>
      </w:r>
      <w:r>
        <w:rPr>
          <w:rFonts w:ascii="Verdana" w:hAnsi="Verdana" w:eastAsia="仿宋_GB2312"/>
          <w:sz w:val="24"/>
          <w:szCs w:val="24"/>
          <w:u w:val="single"/>
        </w:rPr>
        <w:t>1、执行建设工程工程量清单计价规（GB50500-2013）；2、执行 2014年江苏省相关计价定额。</w:t>
      </w:r>
      <w:r>
        <w:rPr>
          <w:rFonts w:ascii="Verdana" w:hAnsi="Verdana" w:eastAsia="仿宋_GB2312"/>
          <w:sz w:val="24"/>
          <w:szCs w:val="24"/>
        </w:rPr>
        <w:t>。</w:t>
      </w:r>
    </w:p>
    <w:p w14:paraId="7F38F1D0">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12.3.2 计量周期</w:t>
      </w:r>
    </w:p>
    <w:p w14:paraId="6F397B1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关于计量周期的约定：</w:t>
      </w:r>
      <w:r>
        <w:rPr>
          <w:rFonts w:ascii="Verdana" w:hAnsi="Verdana" w:eastAsia="仿宋_GB2312"/>
          <w:sz w:val="24"/>
          <w:szCs w:val="24"/>
          <w:u w:val="single"/>
        </w:rPr>
        <w:t>每月30号前汇报本月完成工程量</w:t>
      </w:r>
      <w:r>
        <w:rPr>
          <w:rFonts w:ascii="Verdana" w:hAnsi="Verdana" w:eastAsia="仿宋_GB2312"/>
          <w:sz w:val="24"/>
          <w:szCs w:val="24"/>
        </w:rPr>
        <w:t>。</w:t>
      </w:r>
    </w:p>
    <w:p w14:paraId="4F2660E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12.3.3 单价合同的计量</w:t>
      </w:r>
    </w:p>
    <w:p w14:paraId="29BF958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关于单价合同计量的约定：</w:t>
      </w:r>
      <w:r>
        <w:rPr>
          <w:rFonts w:ascii="Verdana" w:hAnsi="Verdana" w:eastAsia="仿宋_GB2312"/>
          <w:sz w:val="24"/>
          <w:szCs w:val="24"/>
          <w:u w:val="single"/>
        </w:rPr>
        <w:t>/</w:t>
      </w:r>
      <w:r>
        <w:rPr>
          <w:rFonts w:ascii="Verdana" w:hAnsi="Verdana" w:eastAsia="仿宋_GB2312"/>
          <w:sz w:val="24"/>
          <w:szCs w:val="24"/>
        </w:rPr>
        <w:t>。</w:t>
      </w:r>
    </w:p>
    <w:p w14:paraId="50AC765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12.3.4 总价合同的计量</w:t>
      </w:r>
    </w:p>
    <w:p w14:paraId="2193897E">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关于总价合同计量的约定：</w:t>
      </w:r>
      <w:r>
        <w:rPr>
          <w:rFonts w:ascii="Verdana" w:hAnsi="Verdana" w:eastAsia="仿宋_GB2312"/>
          <w:sz w:val="24"/>
          <w:szCs w:val="24"/>
          <w:u w:val="single"/>
        </w:rPr>
        <w:t xml:space="preserve">/       </w:t>
      </w:r>
      <w:r>
        <w:rPr>
          <w:rFonts w:ascii="Verdana" w:hAnsi="Verdana" w:eastAsia="仿宋_GB2312"/>
          <w:sz w:val="24"/>
          <w:szCs w:val="24"/>
        </w:rPr>
        <w:t>。</w:t>
      </w:r>
    </w:p>
    <w:p w14:paraId="4E0A8B4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12.3.5总价合同采用支付分解表计量支付的，是否适用第12.3.4 项〔总价合同的计量〕约定进行计量：</w:t>
      </w:r>
      <w:r>
        <w:rPr>
          <w:rFonts w:ascii="Verdana" w:hAnsi="Verdana" w:eastAsia="仿宋_GB2312"/>
          <w:sz w:val="24"/>
          <w:szCs w:val="24"/>
          <w:u w:val="single"/>
        </w:rPr>
        <w:t xml:space="preserve"> /            </w:t>
      </w:r>
      <w:r>
        <w:rPr>
          <w:rFonts w:ascii="Verdana" w:hAnsi="Verdana" w:eastAsia="仿宋_GB2312"/>
          <w:sz w:val="24"/>
          <w:szCs w:val="24"/>
        </w:rPr>
        <w:t>。</w:t>
      </w:r>
    </w:p>
    <w:p w14:paraId="2FF441D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12.3.6 其他价格形式合同的计量</w:t>
      </w:r>
    </w:p>
    <w:p w14:paraId="062C796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其他价格形式的计量方式和程序：</w:t>
      </w:r>
      <w:r>
        <w:rPr>
          <w:rFonts w:ascii="Verdana" w:hAnsi="Verdana" w:eastAsia="仿宋_GB2312"/>
          <w:sz w:val="24"/>
          <w:szCs w:val="24"/>
          <w:u w:val="single"/>
        </w:rPr>
        <w:t xml:space="preserve">/     </w:t>
      </w:r>
      <w:r>
        <w:rPr>
          <w:rFonts w:ascii="Verdana" w:hAnsi="Verdana" w:eastAsia="仿宋_GB2312"/>
          <w:sz w:val="24"/>
          <w:szCs w:val="24"/>
        </w:rPr>
        <w:t>。</w:t>
      </w:r>
    </w:p>
    <w:p w14:paraId="77849566">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12.4 工程进度款支付</w:t>
      </w:r>
    </w:p>
    <w:p w14:paraId="0C0B9537">
      <w:pPr>
        <w:adjustRightInd w:val="0"/>
        <w:snapToGrid w:val="0"/>
        <w:spacing w:line="300" w:lineRule="auto"/>
        <w:ind w:firstLine="480" w:firstLineChars="200"/>
        <w:rPr>
          <w:rFonts w:ascii="Verdana" w:hAnsi="Verdana" w:eastAsia="仿宋_GB2312"/>
          <w:sz w:val="24"/>
          <w:szCs w:val="24"/>
        </w:rPr>
      </w:pPr>
      <w:bookmarkStart w:id="448" w:name="_Toc296347210"/>
      <w:bookmarkStart w:id="449" w:name="_Toc297216215"/>
      <w:bookmarkStart w:id="450" w:name="_Toc297123556"/>
      <w:bookmarkStart w:id="451" w:name="_Toc297120511"/>
      <w:bookmarkStart w:id="452" w:name="_Toc296503211"/>
      <w:bookmarkStart w:id="453" w:name="_Toc292559416"/>
      <w:bookmarkStart w:id="454" w:name="_Toc292559921"/>
      <w:bookmarkStart w:id="455" w:name="_Toc296346712"/>
      <w:bookmarkStart w:id="456" w:name="_Toc303539163"/>
      <w:bookmarkStart w:id="457" w:name="_Toc297048397"/>
      <w:bookmarkStart w:id="458" w:name="_Toc296944550"/>
      <w:bookmarkStart w:id="459" w:name="_Toc300935006"/>
      <w:bookmarkStart w:id="460" w:name="_Toc296891251"/>
      <w:bookmarkStart w:id="461" w:name="_Toc296891039"/>
      <w:r>
        <w:rPr>
          <w:rFonts w:ascii="Verdana" w:hAnsi="Verdana" w:eastAsia="仿宋_GB2312"/>
          <w:sz w:val="24"/>
          <w:szCs w:val="24"/>
        </w:rPr>
        <w:t>12.4.1 付款周期</w:t>
      </w:r>
    </w:p>
    <w:p w14:paraId="42508651">
      <w:pPr>
        <w:adjustRightInd w:val="0"/>
        <w:snapToGrid w:val="0"/>
        <w:spacing w:line="300" w:lineRule="auto"/>
        <w:ind w:firstLine="482" w:firstLineChars="200"/>
        <w:rPr>
          <w:rFonts w:ascii="Verdana" w:hAnsi="Verdana" w:eastAsia="仿宋_GB2312"/>
          <w:b/>
          <w:sz w:val="24"/>
          <w:szCs w:val="24"/>
          <w:highlight w:val="yellow"/>
          <w:u w:val="single"/>
        </w:rPr>
      </w:pPr>
      <w:r>
        <w:rPr>
          <w:rFonts w:hint="eastAsia" w:ascii="宋体" w:hAnsi="宋体" w:cs="宋体"/>
          <w:b/>
          <w:kern w:val="0"/>
          <w:sz w:val="24"/>
          <w:szCs w:val="24"/>
          <w:highlight w:val="yellow"/>
          <w:u w:val="single"/>
        </w:rPr>
        <w:t>中标价即为合同价，工程竣工验收合格且工程结算审计完成后付至审定价的 97%，剩余3%作为质保金，质保期满后无息退还。</w:t>
      </w:r>
    </w:p>
    <w:p w14:paraId="7EB84E5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12.4.2 进度付款申请单的编制</w:t>
      </w:r>
    </w:p>
    <w:p w14:paraId="6CBAC4C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关于进度付款申请单编制的约定：</w:t>
      </w:r>
      <w:r>
        <w:rPr>
          <w:rFonts w:ascii="Verdana" w:hAnsi="Verdana" w:eastAsia="仿宋_GB2312"/>
          <w:sz w:val="24"/>
          <w:szCs w:val="24"/>
          <w:u w:val="single"/>
        </w:rPr>
        <w:t>按通用条款</w:t>
      </w:r>
      <w:r>
        <w:rPr>
          <w:rFonts w:ascii="Verdana" w:hAnsi="Verdana" w:eastAsia="仿宋_GB2312"/>
          <w:sz w:val="24"/>
          <w:szCs w:val="24"/>
        </w:rPr>
        <w:t>。</w:t>
      </w:r>
    </w:p>
    <w:p w14:paraId="1BBFE66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Verdana" w:hAnsi="Verdana" w:eastAsia="仿宋_GB2312"/>
          <w:sz w:val="24"/>
          <w:szCs w:val="24"/>
        </w:rPr>
        <w:t>2.4.3 进度付款申请单的提交</w:t>
      </w:r>
    </w:p>
    <w:p w14:paraId="3ECEE3D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（1）单价合同进度付款申请单提交的约定：</w:t>
      </w:r>
      <w:r>
        <w:rPr>
          <w:rFonts w:ascii="Verdana" w:hAnsi="Verdana" w:eastAsia="仿宋_GB2312"/>
          <w:sz w:val="24"/>
          <w:szCs w:val="24"/>
          <w:u w:val="single"/>
        </w:rPr>
        <w:t>按通用条款</w:t>
      </w:r>
      <w:r>
        <w:rPr>
          <w:rFonts w:ascii="Verdana" w:hAnsi="Verdana" w:eastAsia="仿宋_GB2312"/>
          <w:sz w:val="24"/>
          <w:szCs w:val="24"/>
        </w:rPr>
        <w:t>。</w:t>
      </w:r>
    </w:p>
    <w:p w14:paraId="4CE0FEC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（2）总价合同进度付款申请单提交的约定：</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p w14:paraId="775A1F3D">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（3）其他价格形式合同进度付款申请单提交的约定：</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p w14:paraId="2412E00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12.4.4 进度款审核和支付</w:t>
      </w:r>
    </w:p>
    <w:p w14:paraId="0F890139">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（1）监理人审查并报送发包人的期限：</w:t>
      </w:r>
      <w:r>
        <w:rPr>
          <w:rFonts w:ascii="Verdana" w:hAnsi="Verdana" w:eastAsia="仿宋_GB2312"/>
          <w:sz w:val="24"/>
          <w:szCs w:val="24"/>
          <w:u w:val="single"/>
        </w:rPr>
        <w:t>按通用条款</w:t>
      </w:r>
      <w:r>
        <w:rPr>
          <w:rFonts w:ascii="Verdana" w:hAnsi="Verdana" w:eastAsia="仿宋_GB2312"/>
          <w:sz w:val="24"/>
          <w:szCs w:val="24"/>
        </w:rPr>
        <w:t>。</w:t>
      </w:r>
    </w:p>
    <w:p w14:paraId="4320C85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发包人完成审批并签发进度款支付证书的期限：</w:t>
      </w:r>
      <w:r>
        <w:rPr>
          <w:rFonts w:ascii="Verdana" w:hAnsi="Verdana" w:eastAsia="仿宋_GB2312"/>
          <w:sz w:val="24"/>
          <w:szCs w:val="24"/>
          <w:u w:val="single"/>
        </w:rPr>
        <w:t>按通用条款</w:t>
      </w:r>
      <w:r>
        <w:rPr>
          <w:rFonts w:ascii="Verdana" w:hAnsi="Verdana" w:eastAsia="仿宋_GB2312"/>
          <w:sz w:val="24"/>
          <w:szCs w:val="24"/>
        </w:rPr>
        <w:t>。</w:t>
      </w:r>
    </w:p>
    <w:p w14:paraId="364EB8F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（2）发包人支付进度款的期限：</w:t>
      </w:r>
      <w:r>
        <w:rPr>
          <w:rFonts w:ascii="Verdana" w:hAnsi="Verdana" w:eastAsia="仿宋_GB2312"/>
          <w:sz w:val="24"/>
          <w:szCs w:val="24"/>
          <w:u w:val="single"/>
        </w:rPr>
        <w:t>完成审批后执行</w:t>
      </w:r>
      <w:r>
        <w:rPr>
          <w:rFonts w:ascii="Verdana" w:hAnsi="Verdana" w:eastAsia="仿宋_GB2312"/>
          <w:sz w:val="24"/>
          <w:szCs w:val="24"/>
        </w:rPr>
        <w:t>。</w:t>
      </w:r>
    </w:p>
    <w:p w14:paraId="6C629C17">
      <w:pPr>
        <w:adjustRightInd w:val="0"/>
        <w:snapToGrid w:val="0"/>
        <w:spacing w:line="300" w:lineRule="auto"/>
        <w:ind w:firstLine="600" w:firstLineChars="250"/>
        <w:rPr>
          <w:rFonts w:ascii="Verdana" w:hAnsi="Verdana" w:eastAsia="仿宋_GB2312"/>
          <w:sz w:val="24"/>
          <w:szCs w:val="24"/>
        </w:rPr>
      </w:pPr>
      <w:r>
        <w:rPr>
          <w:rFonts w:ascii="Verdana" w:hAnsi="Verdana" w:eastAsia="仿宋_GB2312"/>
          <w:sz w:val="24"/>
          <w:szCs w:val="24"/>
        </w:rPr>
        <w:t>发包人逾期支付进度款的违约金的计算方式：</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p w14:paraId="0992D71A">
      <w:pPr>
        <w:adjustRightInd w:val="0"/>
        <w:snapToGrid w:val="0"/>
        <w:spacing w:line="300" w:lineRule="auto"/>
        <w:ind w:firstLine="600" w:firstLineChars="250"/>
        <w:rPr>
          <w:rFonts w:ascii="Verdana" w:hAnsi="Verdana" w:eastAsia="仿宋_GB2312"/>
          <w:sz w:val="24"/>
          <w:szCs w:val="24"/>
        </w:rPr>
      </w:pPr>
      <w:r>
        <w:rPr>
          <w:rFonts w:ascii="Verdana" w:hAnsi="Verdana" w:eastAsia="仿宋_GB2312"/>
          <w:sz w:val="24"/>
          <w:szCs w:val="24"/>
        </w:rPr>
        <w:t>12.4.6 支付分解表的编制</w:t>
      </w:r>
    </w:p>
    <w:p w14:paraId="5D44E8C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2、总价合同支付分解表的编制与审批：</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p w14:paraId="071EAB2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3、单价合同的总价项目支付分解表的编制与审批：</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bookmarkEnd w:id="294"/>
    <w:p w14:paraId="2B1F4DA4">
      <w:pPr>
        <w:pStyle w:val="5"/>
        <w:adjustRightInd w:val="0"/>
        <w:snapToGrid w:val="0"/>
        <w:spacing w:before="120" w:after="120" w:line="300" w:lineRule="auto"/>
        <w:jc w:val="left"/>
        <w:rPr>
          <w:rFonts w:ascii="Verdana" w:hAnsi="Verdana"/>
          <w:b/>
          <w:sz w:val="24"/>
          <w:szCs w:val="24"/>
        </w:rPr>
      </w:pPr>
      <w:bookmarkStart w:id="462" w:name="_Toc351203645"/>
      <w:bookmarkStart w:id="463" w:name="_Toc312678053"/>
      <w:bookmarkStart w:id="464" w:name="_Toc296347218"/>
      <w:bookmarkStart w:id="465" w:name="_Toc304295593"/>
      <w:bookmarkStart w:id="466" w:name="_Toc296944558"/>
      <w:bookmarkStart w:id="467" w:name="_Toc292559424"/>
      <w:bookmarkStart w:id="468" w:name="_Toc297216223"/>
      <w:bookmarkStart w:id="469" w:name="_Toc296891047"/>
      <w:bookmarkStart w:id="470" w:name="_Toc300935015"/>
      <w:bookmarkStart w:id="471" w:name="_Toc297123564"/>
      <w:bookmarkStart w:id="472" w:name="_Toc297120519"/>
      <w:bookmarkStart w:id="473" w:name="_Toc297048405"/>
      <w:bookmarkStart w:id="474" w:name="_Toc296891259"/>
      <w:bookmarkStart w:id="475" w:name="_Toc303539172"/>
      <w:bookmarkStart w:id="476" w:name="_Toc296503219"/>
      <w:bookmarkStart w:id="477" w:name="_Toc292559929"/>
      <w:bookmarkStart w:id="478" w:name="_Toc296346720"/>
      <w:r>
        <w:rPr>
          <w:rFonts w:ascii="Verdana" w:hAnsi="Verdana"/>
          <w:sz w:val="24"/>
          <w:szCs w:val="24"/>
        </w:rPr>
        <w:t>13.验收和工程试车</w:t>
      </w:r>
      <w:bookmarkEnd w:id="462"/>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1D3C2830">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13.1 分部分项工程验收</w:t>
      </w:r>
    </w:p>
    <w:p w14:paraId="04615995">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13.1.2监理人不能按时进行验收时，应提前</w:t>
      </w:r>
      <w:r>
        <w:rPr>
          <w:rFonts w:ascii="Verdana" w:hAnsi="Verdana" w:eastAsia="仿宋_GB2312"/>
          <w:sz w:val="24"/>
          <w:szCs w:val="24"/>
          <w:u w:val="single"/>
        </w:rPr>
        <w:t>24</w:t>
      </w:r>
      <w:r>
        <w:rPr>
          <w:rFonts w:ascii="Verdana" w:hAnsi="Verdana" w:eastAsia="仿宋_GB2312"/>
          <w:sz w:val="24"/>
          <w:szCs w:val="24"/>
        </w:rPr>
        <w:t>小时提交书面延期要求。</w:t>
      </w:r>
    </w:p>
    <w:p w14:paraId="36B888A4">
      <w:pPr>
        <w:adjustRightInd w:val="0"/>
        <w:snapToGrid w:val="0"/>
        <w:spacing w:line="300" w:lineRule="auto"/>
        <w:ind w:firstLine="480" w:firstLineChars="200"/>
        <w:rPr>
          <w:rFonts w:ascii="Verdana" w:hAnsi="Verdana" w:eastAsia="仿宋_GB2312"/>
          <w:b/>
          <w:sz w:val="24"/>
          <w:szCs w:val="24"/>
        </w:rPr>
      </w:pPr>
      <w:r>
        <w:rPr>
          <w:rFonts w:ascii="Verdana" w:hAnsi="Verdana" w:eastAsia="仿宋_GB2312"/>
          <w:sz w:val="24"/>
          <w:szCs w:val="24"/>
        </w:rPr>
        <w:t>关于延期最长不得超过：</w:t>
      </w:r>
      <w:r>
        <w:rPr>
          <w:rFonts w:ascii="Verdana" w:hAnsi="Verdana" w:eastAsia="仿宋_GB2312"/>
          <w:sz w:val="24"/>
          <w:szCs w:val="24"/>
          <w:u w:val="single"/>
        </w:rPr>
        <w:t>48</w:t>
      </w:r>
      <w:r>
        <w:rPr>
          <w:rFonts w:ascii="Verdana" w:hAnsi="Verdana" w:eastAsia="仿宋_GB2312"/>
          <w:sz w:val="24"/>
          <w:szCs w:val="24"/>
        </w:rPr>
        <w:t>小时。</w:t>
      </w:r>
    </w:p>
    <w:p w14:paraId="07DD2D52">
      <w:pPr>
        <w:adjustRightInd w:val="0"/>
        <w:snapToGrid w:val="0"/>
        <w:spacing w:after="120" w:line="300" w:lineRule="auto"/>
        <w:ind w:firstLine="480" w:firstLineChars="200"/>
        <w:rPr>
          <w:rFonts w:ascii="Verdana" w:hAnsi="Verdana" w:eastAsia="黑体"/>
          <w:sz w:val="24"/>
          <w:szCs w:val="24"/>
        </w:rPr>
      </w:pPr>
      <w:bookmarkStart w:id="479" w:name="_Toc297048409"/>
      <w:bookmarkStart w:id="480" w:name="_Toc297120523"/>
      <w:bookmarkStart w:id="481" w:name="_Toc296347222"/>
      <w:bookmarkStart w:id="482" w:name="_Toc304295596"/>
      <w:bookmarkStart w:id="483" w:name="_Toc296891263"/>
      <w:bookmarkStart w:id="484" w:name="_Toc296944562"/>
      <w:bookmarkStart w:id="485" w:name="_Toc297216224"/>
      <w:bookmarkStart w:id="486" w:name="_Toc296891051"/>
      <w:bookmarkStart w:id="487" w:name="_Toc292559933"/>
      <w:bookmarkStart w:id="488" w:name="_Toc296346724"/>
      <w:bookmarkStart w:id="489" w:name="_Toc297123565"/>
      <w:bookmarkStart w:id="490" w:name="_Toc303539173"/>
      <w:bookmarkStart w:id="491" w:name="_Toc296503223"/>
      <w:bookmarkStart w:id="492" w:name="_Toc292559428"/>
      <w:bookmarkStart w:id="493" w:name="_Toc312678056"/>
      <w:bookmarkStart w:id="494" w:name="_Toc300935016"/>
      <w:bookmarkStart w:id="495" w:name="_Toc267251474"/>
      <w:bookmarkStart w:id="496" w:name="_Toc267251475"/>
      <w:bookmarkStart w:id="497" w:name="_Toc267251470"/>
      <w:bookmarkStart w:id="498" w:name="_Toc267251471"/>
      <w:bookmarkStart w:id="499" w:name="_Toc267251473"/>
      <w:bookmarkStart w:id="500" w:name="_Toc267251476"/>
      <w:bookmarkStart w:id="501" w:name="_Toc267251472"/>
      <w:r>
        <w:rPr>
          <w:rFonts w:ascii="Verdana" w:hAnsi="Verdana" w:eastAsia="黑体"/>
          <w:sz w:val="24"/>
          <w:szCs w:val="24"/>
        </w:rPr>
        <w:t>13.2 竣工验收</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30FEED6E">
      <w:pPr>
        <w:adjustRightInd w:val="0"/>
        <w:snapToGrid w:val="0"/>
        <w:spacing w:line="300" w:lineRule="auto"/>
        <w:ind w:firstLine="480" w:firstLineChars="200"/>
        <w:rPr>
          <w:rFonts w:ascii="Verdana" w:hAnsi="Verdana" w:eastAsia="仿宋_GB2312"/>
          <w:sz w:val="24"/>
          <w:szCs w:val="24"/>
        </w:rPr>
      </w:pPr>
      <w:bookmarkStart w:id="502" w:name="_Toc280868704"/>
      <w:bookmarkStart w:id="503" w:name="_Toc280868705"/>
      <w:bookmarkStart w:id="504" w:name="_Toc280868706"/>
      <w:bookmarkStart w:id="505" w:name="_Toc280868707"/>
      <w:bookmarkStart w:id="506" w:name="_Toc280868708"/>
      <w:bookmarkStart w:id="507" w:name="_Toc280868709"/>
      <w:r>
        <w:rPr>
          <w:rFonts w:ascii="Verdana" w:hAnsi="Verdana" w:eastAsia="仿宋_GB2312"/>
          <w:sz w:val="24"/>
          <w:szCs w:val="24"/>
        </w:rPr>
        <w:t>13.2.2竣工验收程序</w:t>
      </w:r>
    </w:p>
    <w:bookmarkEnd w:id="502"/>
    <w:p w14:paraId="05079F6B">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关于竣工验收程序的约定：</w:t>
      </w:r>
      <w:r>
        <w:rPr>
          <w:rFonts w:ascii="Verdana" w:hAnsi="Verdana" w:eastAsia="仿宋_GB2312"/>
          <w:sz w:val="24"/>
          <w:szCs w:val="24"/>
          <w:u w:val="single"/>
        </w:rPr>
        <w:t>按通用条款</w:t>
      </w:r>
      <w:r>
        <w:rPr>
          <w:rFonts w:ascii="Verdana" w:hAnsi="Verdana" w:eastAsia="仿宋_GB2312"/>
          <w:sz w:val="24"/>
          <w:szCs w:val="24"/>
        </w:rPr>
        <w:t>。</w:t>
      </w:r>
    </w:p>
    <w:p w14:paraId="2DE447EC">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发包人不按照本项约定组织竣工验收、颁发工程接收证书的违约金的计算方法：。</w:t>
      </w:r>
    </w:p>
    <w:bookmarkEnd w:id="503"/>
    <w:p w14:paraId="73458C6A">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13.2.5移交、接收全部与部分工程</w:t>
      </w:r>
    </w:p>
    <w:bookmarkEnd w:id="504"/>
    <w:p w14:paraId="6DBB2470">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承包人向发包人移交工程的期限：</w:t>
      </w:r>
      <w:r>
        <w:rPr>
          <w:rFonts w:ascii="Verdana" w:hAnsi="Verdana" w:eastAsia="仿宋_GB2312"/>
          <w:sz w:val="24"/>
          <w:szCs w:val="24"/>
          <w:u w:val="single"/>
        </w:rPr>
        <w:t>按通用条款</w:t>
      </w:r>
      <w:r>
        <w:rPr>
          <w:rFonts w:ascii="Verdana" w:hAnsi="Verdana" w:eastAsia="仿宋_GB2312"/>
          <w:sz w:val="24"/>
          <w:szCs w:val="24"/>
        </w:rPr>
        <w:t>。</w:t>
      </w:r>
    </w:p>
    <w:p w14:paraId="1E927107">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发包人未按本合同约定接收全部或部分工程的，违约金的计算方法为：</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bookmarkEnd w:id="505"/>
    <w:p w14:paraId="03B1925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承包人未按时移交工程的，违约金的计算方法为：</w:t>
      </w:r>
      <w:r>
        <w:rPr>
          <w:rFonts w:ascii="Verdana" w:hAnsi="Verdana" w:eastAsia="仿宋_GB2312"/>
          <w:sz w:val="24"/>
          <w:szCs w:val="24"/>
          <w:u w:val="single"/>
        </w:rPr>
        <w:t>每延误一天罚款1000元</w:t>
      </w:r>
      <w:r>
        <w:rPr>
          <w:rFonts w:ascii="Verdana" w:hAnsi="Verdana" w:eastAsia="仿宋_GB2312"/>
          <w:sz w:val="24"/>
          <w:szCs w:val="24"/>
        </w:rPr>
        <w:t>。</w:t>
      </w:r>
    </w:p>
    <w:p w14:paraId="578518F5">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13.3 工程试车</w:t>
      </w:r>
    </w:p>
    <w:bookmarkEnd w:id="506"/>
    <w:p w14:paraId="364D9FB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13.3.1 试车程序</w:t>
      </w:r>
    </w:p>
    <w:p w14:paraId="21902620">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工程试车内容：</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p w14:paraId="4057007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（1）单机无负荷试车费用由</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承担；</w:t>
      </w:r>
    </w:p>
    <w:p w14:paraId="2C3AC5D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（2）无负荷联动试车费用由</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承担。</w:t>
      </w:r>
    </w:p>
    <w:p w14:paraId="36A3C35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13.3.3 投料试车</w:t>
      </w:r>
    </w:p>
    <w:p w14:paraId="6DA2A6CB">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关于投料试车相关事项的约定：</w:t>
      </w:r>
      <w:r>
        <w:rPr>
          <w:rFonts w:ascii="Verdana" w:hAnsi="Verdana" w:eastAsia="仿宋_GB2312"/>
          <w:sz w:val="24"/>
          <w:szCs w:val="24"/>
          <w:u w:val="single"/>
        </w:rPr>
        <w:t xml:space="preserve">    / </w:t>
      </w:r>
      <w:r>
        <w:rPr>
          <w:rFonts w:ascii="Verdana" w:hAnsi="Verdana" w:eastAsia="仿宋_GB2312"/>
          <w:sz w:val="24"/>
          <w:szCs w:val="24"/>
        </w:rPr>
        <w:t>。</w:t>
      </w:r>
    </w:p>
    <w:p w14:paraId="572F17AA">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13.6 竣工退场</w:t>
      </w:r>
    </w:p>
    <w:p w14:paraId="2281B45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13.6.1 竣工退场</w:t>
      </w:r>
    </w:p>
    <w:p w14:paraId="1E04644C">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承包人完成竣工退场的期限：</w:t>
      </w:r>
      <w:r>
        <w:rPr>
          <w:rFonts w:ascii="Verdana" w:hAnsi="Verdana" w:eastAsia="仿宋_GB2312"/>
          <w:sz w:val="24"/>
          <w:szCs w:val="24"/>
          <w:u w:val="single"/>
        </w:rPr>
        <w:t>竣工验收证明书签署日的 7 天内。</w:t>
      </w:r>
    </w:p>
    <w:p w14:paraId="35698C08">
      <w:pPr>
        <w:pStyle w:val="5"/>
        <w:adjustRightInd w:val="0"/>
        <w:snapToGrid w:val="0"/>
        <w:spacing w:before="120" w:after="120" w:line="300" w:lineRule="auto"/>
        <w:jc w:val="left"/>
        <w:rPr>
          <w:rFonts w:ascii="Verdana" w:hAnsi="Verdana"/>
          <w:b/>
          <w:sz w:val="24"/>
          <w:szCs w:val="24"/>
        </w:rPr>
      </w:pPr>
      <w:bookmarkStart w:id="508" w:name="_Toc351203646"/>
      <w:r>
        <w:rPr>
          <w:rFonts w:ascii="Verdana" w:hAnsi="Verdana"/>
          <w:sz w:val="24"/>
          <w:szCs w:val="24"/>
        </w:rPr>
        <w:t>14. 竣工结算</w:t>
      </w:r>
      <w:bookmarkEnd w:id="508"/>
    </w:p>
    <w:p w14:paraId="2FA8E501">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14.1 竣工结算申请</w:t>
      </w:r>
    </w:p>
    <w:p w14:paraId="02F981E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承包人提交竣工结算申请单的期限：</w:t>
      </w:r>
      <w:r>
        <w:rPr>
          <w:rFonts w:ascii="Verdana" w:hAnsi="Verdana" w:eastAsia="仿宋_GB2312"/>
          <w:sz w:val="24"/>
          <w:szCs w:val="24"/>
          <w:u w:val="single"/>
        </w:rPr>
        <w:t>竣工验收合格并已移交所有档案资料后10日内</w:t>
      </w:r>
      <w:r>
        <w:rPr>
          <w:rFonts w:ascii="Verdana" w:hAnsi="Verdana" w:eastAsia="仿宋_GB2312"/>
          <w:sz w:val="24"/>
          <w:szCs w:val="24"/>
        </w:rPr>
        <w:t>。</w:t>
      </w:r>
    </w:p>
    <w:p w14:paraId="62D78D2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竣工结算申请单应包括的内容：</w:t>
      </w:r>
      <w:r>
        <w:rPr>
          <w:rFonts w:ascii="Verdana" w:hAnsi="Verdana" w:eastAsia="仿宋_GB2312"/>
          <w:sz w:val="24"/>
          <w:szCs w:val="24"/>
          <w:u w:val="single"/>
        </w:rPr>
        <w:t>按通用条款</w:t>
      </w:r>
      <w:r>
        <w:rPr>
          <w:rFonts w:ascii="Verdana" w:hAnsi="Verdana" w:eastAsia="仿宋_GB2312"/>
          <w:sz w:val="24"/>
          <w:szCs w:val="24"/>
        </w:rPr>
        <w:t>。</w:t>
      </w:r>
    </w:p>
    <w:p w14:paraId="215959CB">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14.2 竣工结算审核</w:t>
      </w:r>
    </w:p>
    <w:p w14:paraId="035188CD">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发包人审批竣工付款申请单的期限：</w:t>
      </w:r>
      <w:r>
        <w:rPr>
          <w:rFonts w:ascii="Verdana" w:hAnsi="Verdana" w:eastAsia="仿宋_GB2312"/>
          <w:sz w:val="24"/>
          <w:szCs w:val="24"/>
          <w:u w:val="single"/>
        </w:rPr>
        <w:t>视审计部门审计时间</w:t>
      </w:r>
      <w:r>
        <w:rPr>
          <w:rFonts w:ascii="Verdana" w:hAnsi="Verdana" w:eastAsia="仿宋_GB2312"/>
          <w:sz w:val="24"/>
          <w:szCs w:val="24"/>
        </w:rPr>
        <w:t>。</w:t>
      </w:r>
    </w:p>
    <w:p w14:paraId="0DE2553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发包人完成竣工付款的期限：</w:t>
      </w:r>
      <w:r>
        <w:rPr>
          <w:rFonts w:ascii="Verdana" w:hAnsi="Verdana" w:eastAsia="仿宋_GB2312"/>
          <w:sz w:val="24"/>
          <w:szCs w:val="24"/>
          <w:u w:val="single"/>
        </w:rPr>
        <w:t>视审计部门审计时间</w:t>
      </w:r>
      <w:r>
        <w:rPr>
          <w:rFonts w:ascii="Verdana" w:hAnsi="Verdana" w:eastAsia="仿宋_GB2312"/>
          <w:sz w:val="24"/>
          <w:szCs w:val="24"/>
        </w:rPr>
        <w:t>。</w:t>
      </w:r>
    </w:p>
    <w:p w14:paraId="0509588E">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关于竣工付款证书异议部分复核的方式和程序：</w:t>
      </w:r>
      <w:r>
        <w:rPr>
          <w:rFonts w:ascii="Verdana" w:hAnsi="Verdana" w:eastAsia="仿宋_GB2312"/>
          <w:sz w:val="24"/>
          <w:szCs w:val="24"/>
          <w:u w:val="single"/>
        </w:rPr>
        <w:t xml:space="preserve"> /  </w:t>
      </w:r>
      <w:r>
        <w:rPr>
          <w:rFonts w:ascii="Verdana" w:hAnsi="Verdana" w:eastAsia="仿宋_GB2312"/>
          <w:sz w:val="24"/>
          <w:szCs w:val="24"/>
        </w:rPr>
        <w:t>。</w:t>
      </w:r>
    </w:p>
    <w:bookmarkEnd w:id="495"/>
    <w:bookmarkEnd w:id="496"/>
    <w:bookmarkEnd w:id="497"/>
    <w:bookmarkEnd w:id="498"/>
    <w:bookmarkEnd w:id="499"/>
    <w:bookmarkEnd w:id="500"/>
    <w:bookmarkEnd w:id="501"/>
    <w:bookmarkEnd w:id="507"/>
    <w:p w14:paraId="62C571FF">
      <w:pPr>
        <w:pStyle w:val="5"/>
        <w:adjustRightInd w:val="0"/>
        <w:snapToGrid w:val="0"/>
        <w:spacing w:before="120" w:after="120" w:line="300" w:lineRule="auto"/>
        <w:jc w:val="left"/>
        <w:rPr>
          <w:rFonts w:ascii="Verdana" w:hAnsi="Verdana"/>
          <w:b/>
          <w:sz w:val="24"/>
          <w:szCs w:val="24"/>
        </w:rPr>
      </w:pPr>
      <w:bookmarkStart w:id="509" w:name="_Toc351203647"/>
      <w:bookmarkStart w:id="510" w:name="_Toc267251483"/>
      <w:bookmarkStart w:id="511" w:name="_Toc267251482"/>
      <w:bookmarkStart w:id="512" w:name="_Toc267251484"/>
      <w:bookmarkStart w:id="513" w:name="_Toc267251485"/>
      <w:bookmarkStart w:id="514" w:name="_Toc267251489"/>
      <w:bookmarkStart w:id="515" w:name="_Toc267251486"/>
      <w:bookmarkStart w:id="516" w:name="_Toc267251488"/>
      <w:bookmarkStart w:id="517" w:name="_Toc267251490"/>
      <w:bookmarkStart w:id="518" w:name="_Toc267251493"/>
      <w:bookmarkStart w:id="519" w:name="_Toc267251498"/>
      <w:bookmarkStart w:id="520" w:name="_Toc267251502"/>
      <w:bookmarkStart w:id="521" w:name="_Toc267251494"/>
      <w:bookmarkStart w:id="522" w:name="_Toc267251503"/>
      <w:bookmarkStart w:id="523" w:name="_Toc267251492"/>
      <w:bookmarkStart w:id="524" w:name="_Toc267251499"/>
      <w:bookmarkStart w:id="525" w:name="_Toc267251501"/>
      <w:bookmarkStart w:id="526" w:name="_Toc267251495"/>
      <w:bookmarkStart w:id="527" w:name="_Toc267251497"/>
      <w:bookmarkStart w:id="528" w:name="_Toc267251491"/>
      <w:bookmarkStart w:id="529" w:name="_Toc267251496"/>
      <w:bookmarkStart w:id="530" w:name="_Toc267251506"/>
      <w:bookmarkStart w:id="531" w:name="_Toc267251504"/>
      <w:bookmarkStart w:id="532" w:name="_Toc267251507"/>
      <w:bookmarkStart w:id="533" w:name="_Toc267251508"/>
      <w:bookmarkStart w:id="534" w:name="_Toc267251510"/>
      <w:bookmarkStart w:id="535" w:name="_Toc267251509"/>
      <w:bookmarkStart w:id="536" w:name="_Toc267251515"/>
      <w:bookmarkStart w:id="537" w:name="_Toc267251513"/>
      <w:bookmarkStart w:id="538" w:name="_Toc267251511"/>
      <w:bookmarkStart w:id="539" w:name="_Toc267251514"/>
      <w:r>
        <w:rPr>
          <w:rFonts w:ascii="Verdana" w:hAnsi="Verdana"/>
          <w:sz w:val="24"/>
          <w:szCs w:val="24"/>
        </w:rPr>
        <w:t>15. 缺陷责任期与保修</w:t>
      </w:r>
      <w:bookmarkEnd w:id="509"/>
    </w:p>
    <w:p w14:paraId="3F332BEB">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15.2缺陷责任期</w:t>
      </w:r>
      <w:bookmarkEnd w:id="510"/>
    </w:p>
    <w:p w14:paraId="5D73853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缺陷责任期的具体期限：</w:t>
      </w:r>
      <w:r>
        <w:rPr>
          <w:rFonts w:ascii="Verdana" w:hAnsi="Verdana" w:eastAsia="仿宋_GB2312"/>
          <w:sz w:val="24"/>
          <w:szCs w:val="24"/>
          <w:u w:val="single"/>
        </w:rPr>
        <w:t>按国家相关规定执行</w:t>
      </w:r>
      <w:r>
        <w:rPr>
          <w:rFonts w:ascii="Verdana" w:hAnsi="Verdana" w:eastAsia="仿宋_GB2312"/>
          <w:sz w:val="24"/>
          <w:szCs w:val="24"/>
        </w:rPr>
        <w:t>。</w:t>
      </w:r>
    </w:p>
    <w:p w14:paraId="7B55A1DC">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15.3 质量保证金</w:t>
      </w:r>
    </w:p>
    <w:p w14:paraId="6D2B1D4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关于是否扣留质量保证金的约定：</w:t>
      </w:r>
      <w:r>
        <w:rPr>
          <w:rFonts w:ascii="Verdana" w:hAnsi="Verdana" w:eastAsia="仿宋_GB2312"/>
          <w:sz w:val="24"/>
          <w:szCs w:val="24"/>
          <w:u w:val="single"/>
        </w:rPr>
        <w:t>由发包人从工程款中按合同规定的比例扣留</w:t>
      </w:r>
      <w:r>
        <w:rPr>
          <w:rFonts w:ascii="Verdana" w:hAnsi="Verdana" w:eastAsia="仿宋_GB2312"/>
          <w:sz w:val="24"/>
          <w:szCs w:val="24"/>
        </w:rPr>
        <w:t>。在工程项目竣工前，承包人按专用合同条款第3.7条提供履约担保的，发包人不得同时预留工程质量保证金。</w:t>
      </w:r>
    </w:p>
    <w:p w14:paraId="6087435D">
      <w:pPr>
        <w:adjustRightInd w:val="0"/>
        <w:snapToGrid w:val="0"/>
        <w:spacing w:line="300" w:lineRule="auto"/>
        <w:ind w:firstLine="480" w:firstLineChars="200"/>
        <w:outlineLvl w:val="0"/>
        <w:rPr>
          <w:rFonts w:ascii="Verdana" w:hAnsi="Verdana" w:eastAsia="仿宋_GB2312"/>
          <w:sz w:val="24"/>
          <w:szCs w:val="24"/>
          <w:highlight w:val="yellow"/>
        </w:rPr>
      </w:pPr>
      <w:r>
        <w:rPr>
          <w:rFonts w:ascii="Verdana" w:hAnsi="Verdana" w:eastAsia="仿宋_GB2312"/>
          <w:sz w:val="24"/>
          <w:szCs w:val="24"/>
          <w:highlight w:val="yellow"/>
        </w:rPr>
        <w:t>15.3.1 承包人提供质量保证金的方式</w:t>
      </w:r>
    </w:p>
    <w:p w14:paraId="7FACED66">
      <w:pPr>
        <w:adjustRightInd w:val="0"/>
        <w:snapToGrid w:val="0"/>
        <w:spacing w:line="300" w:lineRule="auto"/>
        <w:ind w:firstLine="480" w:firstLineChars="200"/>
        <w:rPr>
          <w:rFonts w:ascii="Verdana" w:hAnsi="Verdana" w:eastAsia="仿宋_GB2312"/>
          <w:sz w:val="24"/>
          <w:szCs w:val="24"/>
          <w:highlight w:val="yellow"/>
        </w:rPr>
      </w:pPr>
      <w:r>
        <w:rPr>
          <w:rFonts w:ascii="Verdana" w:hAnsi="Verdana" w:eastAsia="仿宋_GB2312"/>
          <w:sz w:val="24"/>
          <w:szCs w:val="24"/>
          <w:highlight w:val="yellow"/>
        </w:rPr>
        <w:t>质量保证金采用以下第</w:t>
      </w:r>
      <w:r>
        <w:rPr>
          <w:rFonts w:ascii="Verdana" w:hAnsi="Verdana" w:eastAsia="仿宋_GB2312"/>
          <w:sz w:val="24"/>
          <w:szCs w:val="24"/>
          <w:highlight w:val="yellow"/>
          <w:u w:val="single"/>
        </w:rPr>
        <w:t xml:space="preserve"> </w:t>
      </w:r>
      <w:r>
        <w:rPr>
          <w:rFonts w:hint="eastAsia" w:ascii="Verdana" w:hAnsi="Verdana" w:eastAsia="仿宋_GB2312"/>
          <w:sz w:val="24"/>
          <w:szCs w:val="24"/>
          <w:highlight w:val="yellow"/>
          <w:u w:val="single"/>
        </w:rPr>
        <w:t>3</w:t>
      </w:r>
      <w:r>
        <w:rPr>
          <w:rFonts w:ascii="Verdana" w:hAnsi="Verdana" w:eastAsia="仿宋_GB2312"/>
          <w:sz w:val="24"/>
          <w:szCs w:val="24"/>
          <w:highlight w:val="yellow"/>
          <w:u w:val="single"/>
        </w:rPr>
        <w:t xml:space="preserve"> </w:t>
      </w:r>
      <w:r>
        <w:rPr>
          <w:rFonts w:ascii="Verdana" w:hAnsi="Verdana" w:eastAsia="仿宋_GB2312"/>
          <w:sz w:val="24"/>
          <w:szCs w:val="24"/>
          <w:highlight w:val="yellow"/>
        </w:rPr>
        <w:t>种方式：</w:t>
      </w:r>
    </w:p>
    <w:p w14:paraId="20134802">
      <w:pPr>
        <w:autoSpaceDE w:val="0"/>
        <w:autoSpaceDN w:val="0"/>
        <w:adjustRightInd w:val="0"/>
        <w:snapToGrid w:val="0"/>
        <w:spacing w:line="300" w:lineRule="auto"/>
        <w:ind w:firstLine="480" w:firstLineChars="200"/>
        <w:rPr>
          <w:rFonts w:ascii="Verdana" w:hAnsi="Verdana" w:eastAsia="仿宋_GB2312"/>
          <w:sz w:val="24"/>
          <w:szCs w:val="24"/>
          <w:highlight w:val="yellow"/>
        </w:rPr>
      </w:pPr>
      <w:r>
        <w:rPr>
          <w:rFonts w:ascii="Verdana" w:hAnsi="Verdana" w:eastAsia="仿宋_GB2312"/>
          <w:sz w:val="24"/>
          <w:szCs w:val="24"/>
          <w:highlight w:val="yellow"/>
        </w:rPr>
        <w:t>（1）质量保证金保函，保证金额为：</w:t>
      </w:r>
      <w:r>
        <w:rPr>
          <w:rFonts w:ascii="Verdana" w:hAnsi="Verdana" w:eastAsia="仿宋_GB2312"/>
          <w:sz w:val="24"/>
          <w:szCs w:val="24"/>
          <w:highlight w:val="yellow"/>
          <w:u w:val="single"/>
        </w:rPr>
        <w:t xml:space="preserve">  /  </w:t>
      </w:r>
      <w:r>
        <w:rPr>
          <w:rFonts w:ascii="Verdana" w:hAnsi="Verdana" w:eastAsia="仿宋_GB2312"/>
          <w:sz w:val="24"/>
          <w:szCs w:val="24"/>
          <w:highlight w:val="yellow"/>
        </w:rPr>
        <w:t>；</w:t>
      </w:r>
    </w:p>
    <w:p w14:paraId="4CC3D923">
      <w:pPr>
        <w:autoSpaceDE w:val="0"/>
        <w:autoSpaceDN w:val="0"/>
        <w:adjustRightInd w:val="0"/>
        <w:snapToGrid w:val="0"/>
        <w:spacing w:line="300" w:lineRule="auto"/>
        <w:ind w:firstLine="480" w:firstLineChars="200"/>
        <w:rPr>
          <w:rFonts w:ascii="Verdana" w:hAnsi="Verdana" w:eastAsia="仿宋_GB2312"/>
          <w:sz w:val="24"/>
          <w:szCs w:val="24"/>
          <w:highlight w:val="yellow"/>
        </w:rPr>
      </w:pPr>
      <w:r>
        <w:rPr>
          <w:rFonts w:ascii="Verdana" w:hAnsi="Verdana" w:eastAsia="仿宋_GB2312"/>
          <w:sz w:val="24"/>
          <w:szCs w:val="24"/>
          <w:highlight w:val="yellow"/>
        </w:rPr>
        <w:t>（2）</w:t>
      </w:r>
      <w:r>
        <w:rPr>
          <w:rFonts w:hint="eastAsia" w:ascii="Verdana" w:hAnsi="Verdana" w:eastAsia="仿宋_GB2312"/>
          <w:sz w:val="24"/>
          <w:szCs w:val="24"/>
          <w:highlight w:val="yellow"/>
          <w:u w:val="single"/>
        </w:rPr>
        <w:t xml:space="preserve">   </w:t>
      </w:r>
      <w:r>
        <w:rPr>
          <w:rFonts w:ascii="Verdana" w:hAnsi="Verdana" w:eastAsia="仿宋_GB2312"/>
          <w:sz w:val="24"/>
          <w:szCs w:val="24"/>
          <w:highlight w:val="yellow"/>
          <w:u w:val="single"/>
        </w:rPr>
        <w:t xml:space="preserve"> </w:t>
      </w:r>
      <w:r>
        <w:rPr>
          <w:rFonts w:ascii="Verdana" w:hAnsi="Verdana" w:eastAsia="仿宋_GB2312"/>
          <w:sz w:val="24"/>
          <w:szCs w:val="24"/>
          <w:highlight w:val="yellow"/>
        </w:rPr>
        <w:t>%的工程款；</w:t>
      </w:r>
    </w:p>
    <w:p w14:paraId="13415C19">
      <w:pPr>
        <w:autoSpaceDE w:val="0"/>
        <w:autoSpaceDN w:val="0"/>
        <w:adjustRightInd w:val="0"/>
        <w:snapToGrid w:val="0"/>
        <w:spacing w:line="300" w:lineRule="auto"/>
        <w:ind w:firstLine="480" w:firstLineChars="200"/>
        <w:rPr>
          <w:rFonts w:ascii="Verdana" w:hAnsi="Verdana" w:eastAsia="仿宋_GB2312"/>
          <w:sz w:val="24"/>
          <w:szCs w:val="24"/>
          <w:highlight w:val="yellow"/>
        </w:rPr>
      </w:pPr>
      <w:r>
        <w:rPr>
          <w:rFonts w:ascii="Verdana" w:hAnsi="Verdana" w:eastAsia="仿宋_GB2312"/>
          <w:sz w:val="24"/>
          <w:szCs w:val="24"/>
          <w:highlight w:val="yellow"/>
        </w:rPr>
        <w:t>（3）其他方式:</w:t>
      </w:r>
      <w:r>
        <w:rPr>
          <w:rFonts w:hint="eastAsia" w:ascii="Verdana" w:hAnsi="Verdana" w:eastAsia="仿宋_GB2312"/>
          <w:sz w:val="24"/>
          <w:szCs w:val="24"/>
          <w:highlight w:val="yellow"/>
          <w:u w:val="single"/>
        </w:rPr>
        <w:t>结算审定价的  3%</w:t>
      </w:r>
      <w:r>
        <w:rPr>
          <w:rFonts w:ascii="Verdana" w:hAnsi="Verdana" w:eastAsia="仿宋_GB2312"/>
          <w:sz w:val="24"/>
          <w:szCs w:val="24"/>
          <w:highlight w:val="yellow"/>
          <w:u w:val="single"/>
        </w:rPr>
        <w:t xml:space="preserve"> </w:t>
      </w:r>
      <w:r>
        <w:rPr>
          <w:rFonts w:ascii="Verdana" w:hAnsi="Verdana" w:eastAsia="仿宋_GB2312"/>
          <w:sz w:val="24"/>
          <w:szCs w:val="24"/>
          <w:highlight w:val="yellow"/>
        </w:rPr>
        <w:t>。</w:t>
      </w:r>
    </w:p>
    <w:p w14:paraId="7A7A890E">
      <w:pPr>
        <w:adjustRightInd w:val="0"/>
        <w:snapToGrid w:val="0"/>
        <w:spacing w:line="300" w:lineRule="auto"/>
        <w:ind w:firstLine="480" w:firstLineChars="200"/>
        <w:outlineLvl w:val="0"/>
        <w:rPr>
          <w:rFonts w:ascii="Verdana" w:hAnsi="Verdana" w:eastAsia="仿宋_GB2312"/>
          <w:sz w:val="24"/>
          <w:szCs w:val="24"/>
        </w:rPr>
      </w:pPr>
      <w:r>
        <w:rPr>
          <w:rFonts w:ascii="Verdana" w:hAnsi="Verdana" w:eastAsia="仿宋_GB2312"/>
          <w:sz w:val="24"/>
          <w:szCs w:val="24"/>
        </w:rPr>
        <w:t>15.3.2 质量保证金的扣留</w:t>
      </w:r>
    </w:p>
    <w:p w14:paraId="795845D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质量保证金的扣留采取以下第</w:t>
      </w:r>
      <w:r>
        <w:rPr>
          <w:rFonts w:ascii="Verdana" w:hAnsi="Verdana" w:eastAsia="仿宋_GB2312"/>
          <w:sz w:val="24"/>
          <w:szCs w:val="24"/>
          <w:u w:val="single"/>
        </w:rPr>
        <w:t xml:space="preserve">  2</w:t>
      </w:r>
      <w:r>
        <w:rPr>
          <w:rFonts w:ascii="Verdana" w:hAnsi="Verdana" w:eastAsia="仿宋_GB2312"/>
          <w:sz w:val="24"/>
          <w:szCs w:val="24"/>
        </w:rPr>
        <w:t>种方式：</w:t>
      </w:r>
    </w:p>
    <w:p w14:paraId="7D059389">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（1）在支付工程进度款时逐次扣留，在此情形下，质量保证金的计算基数不包括预付款的支付、扣回以及价格调整的金额；</w:t>
      </w:r>
    </w:p>
    <w:p w14:paraId="6DC60921">
      <w:pPr>
        <w:autoSpaceDE w:val="0"/>
        <w:autoSpaceDN w:val="0"/>
        <w:adjustRightInd w:val="0"/>
        <w:snapToGrid w:val="0"/>
        <w:spacing w:line="300" w:lineRule="auto"/>
        <w:ind w:firstLine="480" w:firstLineChars="200"/>
        <w:outlineLvl w:val="0"/>
        <w:rPr>
          <w:rFonts w:ascii="Verdana" w:hAnsi="Verdana" w:eastAsia="仿宋_GB2312"/>
          <w:sz w:val="24"/>
          <w:szCs w:val="24"/>
        </w:rPr>
      </w:pPr>
      <w:r>
        <w:rPr>
          <w:rFonts w:ascii="Verdana" w:hAnsi="Verdana" w:eastAsia="仿宋_GB2312"/>
          <w:sz w:val="24"/>
          <w:szCs w:val="24"/>
        </w:rPr>
        <w:t>（2）工程竣工结算时一次性扣留质量保证金；</w:t>
      </w:r>
    </w:p>
    <w:p w14:paraId="26342138">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（3）其他扣留方式:。</w:t>
      </w:r>
    </w:p>
    <w:bookmarkEnd w:id="511"/>
    <w:bookmarkEnd w:id="512"/>
    <w:p w14:paraId="0284668A">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15.4保修</w:t>
      </w:r>
    </w:p>
    <w:bookmarkEnd w:id="513"/>
    <w:p w14:paraId="6FF5FF46">
      <w:pPr>
        <w:adjustRightInd w:val="0"/>
        <w:snapToGrid w:val="0"/>
        <w:spacing w:line="300" w:lineRule="auto"/>
        <w:ind w:firstLine="468" w:firstLineChars="195"/>
        <w:rPr>
          <w:rFonts w:ascii="Verdana" w:hAnsi="Verdana" w:eastAsia="仿宋_GB2312"/>
          <w:sz w:val="24"/>
          <w:szCs w:val="24"/>
        </w:rPr>
      </w:pPr>
      <w:r>
        <w:rPr>
          <w:rFonts w:ascii="Verdana" w:hAnsi="Verdana" w:eastAsia="仿宋_GB2312"/>
          <w:sz w:val="24"/>
          <w:szCs w:val="24"/>
        </w:rPr>
        <w:t>15.4.1 保修责任</w:t>
      </w:r>
    </w:p>
    <w:p w14:paraId="28E22DEE">
      <w:pPr>
        <w:adjustRightInd w:val="0"/>
        <w:snapToGrid w:val="0"/>
        <w:spacing w:line="300" w:lineRule="auto"/>
        <w:ind w:firstLine="468" w:firstLineChars="195"/>
        <w:rPr>
          <w:rFonts w:ascii="Verdana" w:hAnsi="Verdana" w:eastAsia="仿宋_GB2312"/>
          <w:sz w:val="24"/>
          <w:szCs w:val="24"/>
        </w:rPr>
      </w:pPr>
      <w:r>
        <w:rPr>
          <w:rFonts w:ascii="Verdana" w:hAnsi="Verdana" w:eastAsia="仿宋_GB2312"/>
          <w:sz w:val="24"/>
          <w:szCs w:val="24"/>
        </w:rPr>
        <w:t>工程保修期为：</w:t>
      </w:r>
      <w:r>
        <w:rPr>
          <w:rFonts w:ascii="Verdana" w:hAnsi="Verdana" w:eastAsia="仿宋_GB2312"/>
          <w:sz w:val="24"/>
          <w:szCs w:val="24"/>
          <w:u w:val="single"/>
        </w:rPr>
        <w:t>详见《工程质量保修书》</w:t>
      </w:r>
      <w:r>
        <w:rPr>
          <w:rFonts w:ascii="Verdana" w:hAnsi="Verdana" w:eastAsia="仿宋_GB2312"/>
          <w:sz w:val="24"/>
          <w:szCs w:val="24"/>
        </w:rPr>
        <w:t>。</w:t>
      </w:r>
    </w:p>
    <w:p w14:paraId="019E8E4E">
      <w:pPr>
        <w:adjustRightInd w:val="0"/>
        <w:snapToGrid w:val="0"/>
        <w:spacing w:line="300" w:lineRule="auto"/>
        <w:ind w:firstLine="468" w:firstLineChars="195"/>
        <w:rPr>
          <w:rFonts w:ascii="Verdana" w:hAnsi="Verdana" w:eastAsia="仿宋_GB2312"/>
          <w:sz w:val="24"/>
          <w:szCs w:val="24"/>
        </w:rPr>
      </w:pPr>
      <w:r>
        <w:rPr>
          <w:rFonts w:ascii="Verdana" w:hAnsi="Verdana" w:eastAsia="仿宋_GB2312"/>
          <w:sz w:val="24"/>
          <w:szCs w:val="24"/>
        </w:rPr>
        <w:t>15.4.3 修复通知</w:t>
      </w:r>
    </w:p>
    <w:p w14:paraId="1D84F7C7">
      <w:pPr>
        <w:adjustRightInd w:val="0"/>
        <w:snapToGrid w:val="0"/>
        <w:spacing w:line="300" w:lineRule="auto"/>
        <w:ind w:firstLine="468" w:firstLineChars="195"/>
        <w:rPr>
          <w:rFonts w:ascii="Verdana" w:hAnsi="Verdana" w:eastAsia="仿宋_GB2312"/>
          <w:sz w:val="24"/>
          <w:szCs w:val="24"/>
        </w:rPr>
      </w:pPr>
      <w:r>
        <w:rPr>
          <w:rFonts w:ascii="Verdana" w:hAnsi="Verdana" w:eastAsia="仿宋_GB2312"/>
          <w:sz w:val="24"/>
          <w:szCs w:val="24"/>
        </w:rPr>
        <w:t>承包人收到保修通知并到达工程现场的合理时间：</w:t>
      </w:r>
      <w:r>
        <w:rPr>
          <w:rFonts w:ascii="Verdana" w:hAnsi="Verdana" w:eastAsia="仿宋_GB2312"/>
          <w:sz w:val="24"/>
          <w:szCs w:val="24"/>
          <w:u w:val="single"/>
        </w:rPr>
        <w:t>收到保修通知24小时内</w:t>
      </w:r>
      <w:r>
        <w:rPr>
          <w:rFonts w:ascii="Verdana" w:hAnsi="Verdana" w:eastAsia="仿宋_GB2312"/>
          <w:sz w:val="24"/>
          <w:szCs w:val="24"/>
        </w:rPr>
        <w:t>。</w:t>
      </w:r>
    </w:p>
    <w:bookmarkEnd w:id="514"/>
    <w:bookmarkEnd w:id="515"/>
    <w:bookmarkEnd w:id="516"/>
    <w:bookmarkEnd w:id="517"/>
    <w:p w14:paraId="4532A3D7">
      <w:pPr>
        <w:pStyle w:val="5"/>
        <w:adjustRightInd w:val="0"/>
        <w:snapToGrid w:val="0"/>
        <w:spacing w:before="120" w:after="120" w:line="300" w:lineRule="auto"/>
        <w:jc w:val="left"/>
        <w:rPr>
          <w:rFonts w:ascii="Verdana" w:hAnsi="Verdana"/>
          <w:b/>
          <w:sz w:val="24"/>
          <w:szCs w:val="24"/>
        </w:rPr>
      </w:pPr>
      <w:bookmarkStart w:id="540" w:name="_Toc351203648"/>
      <w:bookmarkStart w:id="541" w:name="_Toc280868717"/>
      <w:bookmarkStart w:id="542" w:name="_Toc280868718"/>
      <w:r>
        <w:rPr>
          <w:rFonts w:ascii="Verdana" w:hAnsi="Verdana"/>
          <w:sz w:val="24"/>
          <w:szCs w:val="24"/>
        </w:rPr>
        <w:t>16. 违约</w:t>
      </w:r>
      <w:bookmarkEnd w:id="540"/>
    </w:p>
    <w:p w14:paraId="764FAD92">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16.1 发包人违约</w:t>
      </w:r>
    </w:p>
    <w:p w14:paraId="7042B00F">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16.1.1发包人违约的情形</w:t>
      </w:r>
    </w:p>
    <w:p w14:paraId="0E94F85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发包人违约的其他情形：</w:t>
      </w:r>
      <w:r>
        <w:rPr>
          <w:rFonts w:ascii="Verdana" w:hAnsi="Verdana" w:eastAsia="仿宋_GB2312"/>
          <w:sz w:val="24"/>
          <w:szCs w:val="24"/>
          <w:u w:val="single"/>
        </w:rPr>
        <w:t>执行通用条款</w:t>
      </w:r>
      <w:r>
        <w:rPr>
          <w:rFonts w:ascii="Verdana" w:hAnsi="Verdana" w:eastAsia="仿宋_GB2312"/>
          <w:sz w:val="24"/>
          <w:szCs w:val="24"/>
        </w:rPr>
        <w:t>。</w:t>
      </w:r>
    </w:p>
    <w:p w14:paraId="2A2F14F8">
      <w:pPr>
        <w:adjustRightInd w:val="0"/>
        <w:snapToGrid w:val="0"/>
        <w:spacing w:line="300" w:lineRule="auto"/>
        <w:ind w:left="1200" w:hanging="1200" w:hangingChars="500"/>
        <w:rPr>
          <w:rFonts w:ascii="Verdana" w:hAnsi="Verdana" w:eastAsia="仿宋_GB2312"/>
          <w:sz w:val="24"/>
          <w:szCs w:val="24"/>
        </w:rPr>
      </w:pPr>
      <w:r>
        <w:rPr>
          <w:rFonts w:ascii="Verdana" w:hAnsi="Verdana" w:eastAsia="仿宋_GB2312"/>
          <w:sz w:val="24"/>
          <w:szCs w:val="24"/>
        </w:rPr>
        <w:t xml:space="preserve">    16.1.2 发包人违约的责任</w:t>
      </w:r>
    </w:p>
    <w:p w14:paraId="590F578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发包人违约责任的承担方式和计算方法：</w:t>
      </w:r>
    </w:p>
    <w:p w14:paraId="44E01A0E">
      <w:pPr>
        <w:pStyle w:val="130"/>
        <w:adjustRightInd w:val="0"/>
        <w:spacing w:line="300" w:lineRule="auto"/>
        <w:ind w:firstLine="480" w:firstLineChars="200"/>
        <w:jc w:val="left"/>
        <w:rPr>
          <w:rFonts w:ascii="Verdana" w:hAnsi="Verdana"/>
          <w:kern w:val="0"/>
          <w:sz w:val="24"/>
          <w:szCs w:val="24"/>
          <w:u w:val="single"/>
        </w:rPr>
      </w:pPr>
      <w:r>
        <w:rPr>
          <w:rFonts w:ascii="Verdana" w:hAnsi="Verdana" w:eastAsia="仿宋_GB2312"/>
          <w:kern w:val="0"/>
          <w:sz w:val="24"/>
          <w:szCs w:val="24"/>
        </w:rPr>
        <w:t>（1）因发包人原因未能在计划开工日期前7天内下达开工通知的违约责任：</w:t>
      </w:r>
      <w:r>
        <w:rPr>
          <w:rFonts w:ascii="Verdana" w:hAnsi="Verdana" w:eastAsia="仿宋_GB2312"/>
          <w:sz w:val="24"/>
          <w:szCs w:val="24"/>
          <w:u w:val="single"/>
        </w:rPr>
        <w:t>不予考虑相应损失及工期顺延</w:t>
      </w:r>
      <w:r>
        <w:rPr>
          <w:rFonts w:ascii="Verdana" w:hAnsi="Verdana" w:eastAsia="仿宋_GB2312"/>
          <w:kern w:val="0"/>
          <w:sz w:val="24"/>
          <w:szCs w:val="24"/>
        </w:rPr>
        <w:t>。</w:t>
      </w:r>
    </w:p>
    <w:p w14:paraId="765C954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（2）因发包人原因未能按合同约定支付合同价款的违约责任：</w:t>
      </w:r>
      <w:r>
        <w:rPr>
          <w:rFonts w:ascii="Verdana" w:hAnsi="Verdana" w:eastAsia="仿宋_GB2312"/>
          <w:sz w:val="24"/>
          <w:szCs w:val="24"/>
          <w:u w:val="single"/>
        </w:rPr>
        <w:t>另行商议</w:t>
      </w:r>
      <w:r>
        <w:rPr>
          <w:rFonts w:ascii="Verdana" w:hAnsi="Verdana" w:eastAsia="仿宋_GB2312"/>
          <w:sz w:val="24"/>
          <w:szCs w:val="24"/>
        </w:rPr>
        <w:t>。</w:t>
      </w:r>
    </w:p>
    <w:p w14:paraId="14C92D4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（3）发包人违反第10.1款〔变更的范围〕第（2）项约定，自行实施被取消的工作或转由他人实施的违约责任：</w:t>
      </w:r>
      <w:r>
        <w:rPr>
          <w:rFonts w:hint="eastAsia" w:ascii="Verdana" w:hAnsi="Verdana" w:eastAsia="仿宋_GB2312"/>
          <w:sz w:val="24"/>
          <w:szCs w:val="24"/>
          <w:u w:val="single"/>
        </w:rPr>
        <w:t xml:space="preserve">    </w:t>
      </w:r>
      <w:r>
        <w:rPr>
          <w:rFonts w:ascii="Verdana" w:hAnsi="Verdana" w:eastAsia="仿宋_GB2312"/>
          <w:sz w:val="24"/>
          <w:szCs w:val="24"/>
          <w:u w:val="single"/>
        </w:rPr>
        <w:t xml:space="preserve">/     </w:t>
      </w:r>
      <w:r>
        <w:rPr>
          <w:rFonts w:ascii="Verdana" w:hAnsi="Verdana" w:eastAsia="仿宋_GB2312"/>
          <w:sz w:val="24"/>
          <w:szCs w:val="24"/>
        </w:rPr>
        <w:t>。</w:t>
      </w:r>
    </w:p>
    <w:p w14:paraId="5B5B3A5E">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（4）发包人提供的材料、工程设备的规格、数量或质量不符合合同约定，或因发包人原因导致交货日期延误或交货地点变更等情况的违约责任：</w:t>
      </w:r>
      <w:r>
        <w:rPr>
          <w:rFonts w:ascii="Verdana" w:hAnsi="Verdana" w:eastAsia="仿宋_GB2312"/>
          <w:sz w:val="24"/>
          <w:szCs w:val="24"/>
          <w:u w:val="single"/>
        </w:rPr>
        <w:t>另行商议</w:t>
      </w:r>
      <w:r>
        <w:rPr>
          <w:rFonts w:ascii="Verdana" w:hAnsi="Verdana" w:eastAsia="仿宋_GB2312"/>
          <w:sz w:val="24"/>
          <w:szCs w:val="24"/>
        </w:rPr>
        <w:t>。</w:t>
      </w:r>
    </w:p>
    <w:p w14:paraId="3D6272DD">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（5）因发包人违反合同约定造成暂停施工的违约责任：</w:t>
      </w:r>
      <w:r>
        <w:rPr>
          <w:rFonts w:ascii="Verdana" w:hAnsi="Verdana" w:eastAsia="仿宋_GB2312"/>
          <w:sz w:val="24"/>
          <w:szCs w:val="24"/>
          <w:u w:val="single"/>
        </w:rPr>
        <w:t>另行商议</w:t>
      </w:r>
      <w:r>
        <w:rPr>
          <w:rFonts w:ascii="Verdana" w:hAnsi="Verdana" w:eastAsia="仿宋_GB2312"/>
          <w:sz w:val="24"/>
          <w:szCs w:val="24"/>
        </w:rPr>
        <w:t>。</w:t>
      </w:r>
    </w:p>
    <w:p w14:paraId="23B66ED8">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（6）发包人无正当理由没有在约定期限内发出复工指示，导致承包人无法复工的违约责任：</w:t>
      </w:r>
      <w:r>
        <w:rPr>
          <w:rFonts w:ascii="Verdana" w:hAnsi="Verdana" w:eastAsia="仿宋_GB2312"/>
          <w:sz w:val="24"/>
          <w:szCs w:val="24"/>
          <w:u w:val="single"/>
        </w:rPr>
        <w:t>另行商议</w:t>
      </w:r>
      <w:r>
        <w:rPr>
          <w:rFonts w:ascii="Verdana" w:hAnsi="Verdana" w:eastAsia="仿宋_GB2312"/>
          <w:sz w:val="24"/>
          <w:szCs w:val="24"/>
        </w:rPr>
        <w:t>。</w:t>
      </w:r>
    </w:p>
    <w:p w14:paraId="640ACEC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（7）其他：</w:t>
      </w:r>
      <w:r>
        <w:rPr>
          <w:rFonts w:ascii="Verdana" w:hAnsi="Verdana" w:eastAsia="仿宋_GB2312"/>
          <w:sz w:val="24"/>
          <w:szCs w:val="24"/>
          <w:u w:val="single"/>
        </w:rPr>
        <w:t>/</w:t>
      </w:r>
      <w:r>
        <w:rPr>
          <w:rFonts w:ascii="Verdana" w:hAnsi="Verdana" w:eastAsia="仿宋_GB2312"/>
          <w:sz w:val="24"/>
          <w:szCs w:val="24"/>
        </w:rPr>
        <w:t>。</w:t>
      </w:r>
    </w:p>
    <w:p w14:paraId="21FEC1AC">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16.1.3 因发包人违约解除合同</w:t>
      </w:r>
    </w:p>
    <w:p w14:paraId="009164C3">
      <w:pPr>
        <w:autoSpaceDE w:val="0"/>
        <w:autoSpaceDN w:val="0"/>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承包人按16.1.1项〔发包人违约的情形〕约定暂停施工满天后发包人仍不纠正其违约行为并致使合同目的不能实现的，承包人有权解除合同。</w:t>
      </w:r>
    </w:p>
    <w:p w14:paraId="7FDDC59F">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16.2 承包人违约</w:t>
      </w:r>
    </w:p>
    <w:p w14:paraId="183D850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16.2.1 承包人违约的情形</w:t>
      </w:r>
    </w:p>
    <w:p w14:paraId="45DEB7B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承包人违约的其他情形：</w:t>
      </w:r>
      <w:r>
        <w:rPr>
          <w:rFonts w:ascii="Verdana" w:hAnsi="Verdana" w:eastAsia="仿宋_GB2312"/>
          <w:sz w:val="24"/>
          <w:szCs w:val="24"/>
          <w:u w:val="single"/>
        </w:rPr>
        <w:t>支付违约金，除专用条款已约定的内容，其他情形违约金的具体金额由发包人和监理人商定</w:t>
      </w:r>
      <w:r>
        <w:rPr>
          <w:rFonts w:ascii="Verdana" w:hAnsi="Verdana" w:eastAsia="仿宋_GB2312"/>
          <w:sz w:val="24"/>
          <w:szCs w:val="24"/>
        </w:rPr>
        <w:t>。</w:t>
      </w:r>
    </w:p>
    <w:p w14:paraId="7E6F66B2">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16.2.2承包人违约的责任</w:t>
      </w:r>
    </w:p>
    <w:p w14:paraId="5BAE207C">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承包人违约责任的承担方式和计算方法：。</w:t>
      </w:r>
    </w:p>
    <w:p w14:paraId="014B8E59">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16.2.3 因承包人违约解除合同</w:t>
      </w:r>
    </w:p>
    <w:p w14:paraId="2D04E33C">
      <w:pPr>
        <w:adjustRightInd w:val="0"/>
        <w:snapToGrid w:val="0"/>
        <w:spacing w:before="120" w:after="120" w:line="300" w:lineRule="auto"/>
        <w:ind w:firstLine="480" w:firstLineChars="200"/>
        <w:rPr>
          <w:rFonts w:ascii="Verdana" w:hAnsi="Verdana" w:eastAsia="仿宋_GB2312"/>
          <w:sz w:val="24"/>
          <w:szCs w:val="24"/>
        </w:rPr>
      </w:pPr>
      <w:r>
        <w:rPr>
          <w:rFonts w:ascii="Verdana" w:hAnsi="Verdana" w:eastAsia="仿宋_GB2312"/>
          <w:sz w:val="24"/>
          <w:szCs w:val="24"/>
        </w:rPr>
        <w:t>关于承包人违约解除合同的特别约定：。</w:t>
      </w:r>
    </w:p>
    <w:p w14:paraId="370A668C">
      <w:pPr>
        <w:adjustRightInd w:val="0"/>
        <w:snapToGrid w:val="0"/>
        <w:spacing w:before="120" w:after="120" w:line="300" w:lineRule="auto"/>
        <w:ind w:firstLine="480" w:firstLineChars="200"/>
        <w:rPr>
          <w:rFonts w:ascii="Verdana" w:hAnsi="Verdana" w:eastAsia="仿宋_GB2312"/>
          <w:sz w:val="24"/>
          <w:szCs w:val="24"/>
        </w:rPr>
      </w:pPr>
      <w:r>
        <w:rPr>
          <w:rFonts w:ascii="Verdana" w:hAnsi="Verdana" w:eastAsia="仿宋_GB2312"/>
          <w:sz w:val="24"/>
          <w:szCs w:val="24"/>
        </w:rPr>
        <w:t>发包人继续使用承包人在施工现场的材料、设备、临时工程、承包人文件和由承包人或以其名义编制的其他文件的费用承担方式：</w:t>
      </w:r>
      <w:r>
        <w:rPr>
          <w:rFonts w:ascii="Verdana" w:hAnsi="Verdana" w:eastAsia="仿宋_GB2312"/>
          <w:sz w:val="24"/>
          <w:szCs w:val="24"/>
          <w:u w:val="single"/>
        </w:rPr>
        <w:t>另行商议</w:t>
      </w:r>
      <w:r>
        <w:rPr>
          <w:rFonts w:ascii="Verdana" w:hAnsi="Verdana" w:eastAsia="仿宋_GB2312"/>
          <w:sz w:val="24"/>
          <w:szCs w:val="24"/>
        </w:rPr>
        <w:t>。</w:t>
      </w:r>
    </w:p>
    <w:p w14:paraId="5B31A730">
      <w:pPr>
        <w:pStyle w:val="5"/>
        <w:adjustRightInd w:val="0"/>
        <w:snapToGrid w:val="0"/>
        <w:spacing w:before="120" w:after="120" w:line="300" w:lineRule="auto"/>
        <w:jc w:val="left"/>
        <w:rPr>
          <w:rFonts w:ascii="Verdana" w:hAnsi="Verdana"/>
          <w:b/>
          <w:sz w:val="24"/>
          <w:szCs w:val="24"/>
        </w:rPr>
      </w:pPr>
      <w:bookmarkStart w:id="543" w:name="_Toc351203649"/>
      <w:r>
        <w:rPr>
          <w:rFonts w:ascii="Verdana" w:hAnsi="Verdana"/>
          <w:sz w:val="24"/>
          <w:szCs w:val="24"/>
        </w:rPr>
        <w:t>17. 不可抗力</w:t>
      </w:r>
      <w:bookmarkEnd w:id="541"/>
      <w:bookmarkEnd w:id="543"/>
    </w:p>
    <w:p w14:paraId="74F533BF">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17.1 不可抗力的确认</w:t>
      </w:r>
    </w:p>
    <w:p w14:paraId="27148436">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除通用合同条款约定的不可抗力事件之外，视为不可抗力的其他情形：</w:t>
      </w:r>
      <w:r>
        <w:rPr>
          <w:rFonts w:ascii="Verdana" w:hAnsi="Verdana" w:eastAsia="仿宋_GB2312"/>
          <w:sz w:val="24"/>
          <w:szCs w:val="24"/>
          <w:u w:val="single"/>
        </w:rPr>
        <w:t>/</w:t>
      </w:r>
      <w:r>
        <w:rPr>
          <w:rFonts w:ascii="Verdana" w:hAnsi="Verdana" w:eastAsia="仿宋_GB2312"/>
          <w:sz w:val="24"/>
          <w:szCs w:val="24"/>
        </w:rPr>
        <w:t>。</w:t>
      </w:r>
    </w:p>
    <w:p w14:paraId="7E0C6E53">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17.4 因不可抗力解除合同</w:t>
      </w:r>
    </w:p>
    <w:p w14:paraId="72EE75DC">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合同解除后，发包人应在商定或确定发包人应支付款项后</w:t>
      </w:r>
      <w:r>
        <w:rPr>
          <w:rFonts w:ascii="Verdana" w:hAnsi="Verdana" w:cs="宋体"/>
          <w:b/>
          <w:bCs/>
          <w:sz w:val="24"/>
          <w:szCs w:val="24"/>
          <w:u w:val="single"/>
        </w:rPr>
        <w:t xml:space="preserve">经双方协商 </w:t>
      </w:r>
      <w:r>
        <w:rPr>
          <w:rFonts w:ascii="Verdana" w:hAnsi="Verdana" w:eastAsia="仿宋_GB2312"/>
          <w:sz w:val="24"/>
          <w:szCs w:val="24"/>
        </w:rPr>
        <w:t>完成款项的支付。</w:t>
      </w:r>
    </w:p>
    <w:p w14:paraId="10D4B3CA">
      <w:pPr>
        <w:pStyle w:val="5"/>
        <w:adjustRightInd w:val="0"/>
        <w:snapToGrid w:val="0"/>
        <w:spacing w:before="120" w:after="120" w:line="300" w:lineRule="auto"/>
        <w:jc w:val="left"/>
        <w:rPr>
          <w:rFonts w:ascii="Verdana" w:hAnsi="Verdana"/>
          <w:b/>
          <w:sz w:val="24"/>
          <w:szCs w:val="24"/>
        </w:rPr>
      </w:pPr>
      <w:bookmarkStart w:id="544" w:name="_Toc351203650"/>
      <w:r>
        <w:rPr>
          <w:rFonts w:ascii="Verdana" w:hAnsi="Verdana"/>
          <w:sz w:val="24"/>
          <w:szCs w:val="24"/>
        </w:rPr>
        <w:t>18. 保险</w:t>
      </w:r>
      <w:bookmarkEnd w:id="544"/>
    </w:p>
    <w:bookmarkEnd w:id="542"/>
    <w:p w14:paraId="56B5E2EA">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18.1 工程保险</w:t>
      </w:r>
    </w:p>
    <w:p w14:paraId="12594CBF">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关于工程保险特别约定：</w:t>
      </w:r>
      <w:r>
        <w:rPr>
          <w:rFonts w:ascii="Verdana" w:hAnsi="Verdana" w:eastAsia="仿宋_GB2312"/>
          <w:sz w:val="24"/>
          <w:szCs w:val="24"/>
          <w:u w:val="single"/>
        </w:rPr>
        <w:t>按扬州市相关规定，应由承包人缴纳的保险必须按时依法办理。</w:t>
      </w:r>
    </w:p>
    <w:p w14:paraId="47A23E7C">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18.3 其他保险</w:t>
      </w:r>
    </w:p>
    <w:p w14:paraId="2717865D">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关于其他保险的约定：</w:t>
      </w:r>
      <w:r>
        <w:rPr>
          <w:rFonts w:ascii="Verdana" w:hAnsi="Verdana" w:eastAsia="仿宋_GB2312"/>
          <w:sz w:val="24"/>
          <w:szCs w:val="24"/>
          <w:u w:val="single"/>
        </w:rPr>
        <w:t>按扬州市相关规定，应由承包人缴纳的保险必须按时依法办理。</w:t>
      </w:r>
    </w:p>
    <w:p w14:paraId="217173D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承包人是否应为其施工设备等办理财产保险：</w:t>
      </w:r>
      <w:r>
        <w:rPr>
          <w:rFonts w:ascii="Verdana" w:hAnsi="Verdana" w:eastAsia="仿宋_GB2312"/>
          <w:sz w:val="24"/>
          <w:szCs w:val="24"/>
          <w:u w:val="single"/>
        </w:rPr>
        <w:t>/</w:t>
      </w:r>
      <w:r>
        <w:rPr>
          <w:rFonts w:ascii="Verdana" w:hAnsi="Verdana" w:eastAsia="仿宋_GB2312"/>
          <w:sz w:val="24"/>
          <w:szCs w:val="24"/>
        </w:rPr>
        <w:t>。</w:t>
      </w:r>
    </w:p>
    <w:p w14:paraId="45F407D3">
      <w:pPr>
        <w:adjustRightInd w:val="0"/>
        <w:snapToGrid w:val="0"/>
        <w:spacing w:after="120" w:line="300" w:lineRule="auto"/>
        <w:ind w:firstLine="480" w:firstLineChars="200"/>
        <w:rPr>
          <w:rFonts w:ascii="Verdana" w:hAnsi="Verdana" w:eastAsia="黑体"/>
          <w:sz w:val="24"/>
          <w:szCs w:val="24"/>
        </w:rPr>
      </w:pPr>
      <w:r>
        <w:rPr>
          <w:rFonts w:ascii="Verdana" w:hAnsi="Verdana" w:eastAsia="黑体"/>
          <w:sz w:val="24"/>
          <w:szCs w:val="24"/>
        </w:rPr>
        <w:t>18.7 通知义务</w:t>
      </w:r>
    </w:p>
    <w:p w14:paraId="26A17B85">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关于变更保险合同时的通知义务的约定：</w:t>
      </w:r>
      <w:r>
        <w:rPr>
          <w:rFonts w:ascii="Verdana" w:hAnsi="Verdana" w:eastAsia="仿宋_GB2312"/>
          <w:sz w:val="24"/>
          <w:szCs w:val="24"/>
          <w:u w:val="single"/>
        </w:rPr>
        <w:t>按通用条款</w:t>
      </w:r>
      <w:r>
        <w:rPr>
          <w:rFonts w:ascii="Verdana" w:hAnsi="Verdana" w:eastAsia="仿宋_GB2312"/>
          <w:sz w:val="24"/>
          <w:szCs w:val="24"/>
        </w:rPr>
        <w:t>。</w:t>
      </w:r>
    </w:p>
    <w:bookmarkEnd w:id="518"/>
    <w:bookmarkEnd w:id="519"/>
    <w:bookmarkEnd w:id="520"/>
    <w:bookmarkEnd w:id="521"/>
    <w:bookmarkEnd w:id="522"/>
    <w:bookmarkEnd w:id="523"/>
    <w:bookmarkEnd w:id="524"/>
    <w:bookmarkEnd w:id="525"/>
    <w:bookmarkEnd w:id="526"/>
    <w:bookmarkEnd w:id="527"/>
    <w:bookmarkEnd w:id="528"/>
    <w:bookmarkEnd w:id="529"/>
    <w:p w14:paraId="0C579FD3">
      <w:pPr>
        <w:pStyle w:val="5"/>
        <w:adjustRightInd w:val="0"/>
        <w:snapToGrid w:val="0"/>
        <w:spacing w:before="120" w:after="120" w:line="300" w:lineRule="auto"/>
        <w:jc w:val="left"/>
        <w:rPr>
          <w:rFonts w:ascii="Verdana" w:hAnsi="Verdana"/>
          <w:b/>
          <w:sz w:val="24"/>
          <w:szCs w:val="24"/>
        </w:rPr>
      </w:pPr>
      <w:bookmarkStart w:id="545" w:name="_Toc351203651"/>
      <w:r>
        <w:rPr>
          <w:rFonts w:ascii="Verdana" w:hAnsi="Verdana"/>
          <w:sz w:val="24"/>
          <w:szCs w:val="24"/>
        </w:rPr>
        <w:t>19. 争议解决</w:t>
      </w:r>
      <w:bookmarkEnd w:id="545"/>
    </w:p>
    <w:bookmarkEnd w:id="530"/>
    <w:bookmarkEnd w:id="531"/>
    <w:p w14:paraId="7BBBF523">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19.1 争</w:t>
      </w:r>
      <w:bookmarkEnd w:id="532"/>
      <w:r>
        <w:rPr>
          <w:rFonts w:ascii="Verdana" w:hAnsi="Verdana" w:eastAsia="黑体"/>
          <w:sz w:val="24"/>
          <w:szCs w:val="24"/>
        </w:rPr>
        <w:t>议评审</w:t>
      </w:r>
    </w:p>
    <w:p w14:paraId="7C12E27B">
      <w:pPr>
        <w:adjustRightInd w:val="0"/>
        <w:snapToGrid w:val="0"/>
        <w:spacing w:line="300" w:lineRule="auto"/>
        <w:ind w:left="149" w:leftChars="71" w:firstLine="360" w:firstLineChars="150"/>
        <w:rPr>
          <w:rFonts w:ascii="Verdana" w:hAnsi="Verdana" w:eastAsia="仿宋_GB2312"/>
          <w:sz w:val="24"/>
          <w:szCs w:val="24"/>
        </w:rPr>
      </w:pPr>
      <w:r>
        <w:rPr>
          <w:rFonts w:ascii="Verdana" w:hAnsi="Verdana" w:eastAsia="仿宋_GB2312"/>
          <w:sz w:val="24"/>
          <w:szCs w:val="24"/>
        </w:rPr>
        <w:t>合同当事人是否同意将工程争议提交争议评审小组决定：</w:t>
      </w:r>
      <w:r>
        <w:rPr>
          <w:rFonts w:ascii="Verdana" w:hAnsi="Verdana" w:eastAsia="仿宋_GB2312"/>
          <w:sz w:val="24"/>
          <w:szCs w:val="24"/>
          <w:u w:val="single"/>
        </w:rPr>
        <w:t>按通用条款</w:t>
      </w:r>
      <w:r>
        <w:rPr>
          <w:rFonts w:ascii="Verdana" w:hAnsi="Verdana" w:eastAsia="仿宋_GB2312"/>
          <w:sz w:val="24"/>
          <w:szCs w:val="24"/>
        </w:rPr>
        <w:t>。</w:t>
      </w:r>
    </w:p>
    <w:p w14:paraId="37A6093E">
      <w:pPr>
        <w:adjustRightInd w:val="0"/>
        <w:snapToGrid w:val="0"/>
        <w:spacing w:line="300" w:lineRule="auto"/>
        <w:ind w:firstLine="480" w:firstLineChars="200"/>
        <w:outlineLvl w:val="0"/>
        <w:rPr>
          <w:rFonts w:ascii="Verdana" w:hAnsi="Verdana" w:eastAsia="仿宋_GB2312"/>
          <w:sz w:val="24"/>
          <w:szCs w:val="24"/>
        </w:rPr>
      </w:pPr>
      <w:r>
        <w:rPr>
          <w:rFonts w:ascii="Verdana" w:hAnsi="Verdana" w:eastAsia="仿宋_GB2312"/>
          <w:sz w:val="24"/>
          <w:szCs w:val="24"/>
        </w:rPr>
        <w:t>19.1.1 争议评审小组的确定</w:t>
      </w:r>
    </w:p>
    <w:p w14:paraId="383CBCF3">
      <w:pPr>
        <w:adjustRightInd w:val="0"/>
        <w:snapToGrid w:val="0"/>
        <w:spacing w:line="300" w:lineRule="auto"/>
        <w:ind w:firstLine="480" w:firstLineChars="200"/>
        <w:rPr>
          <w:rFonts w:ascii="Verdana" w:hAnsi="Verdana" w:eastAsia="仿宋_GB2312"/>
          <w:sz w:val="24"/>
          <w:szCs w:val="24"/>
          <w:u w:val="single"/>
        </w:rPr>
      </w:pPr>
      <w:r>
        <w:rPr>
          <w:rFonts w:ascii="Verdana" w:hAnsi="Verdana" w:eastAsia="仿宋_GB2312"/>
          <w:sz w:val="24"/>
          <w:szCs w:val="24"/>
        </w:rPr>
        <w:t>争议评审小组成员的确定：</w:t>
      </w:r>
      <w:r>
        <w:rPr>
          <w:rFonts w:ascii="Verdana" w:hAnsi="Verdana" w:eastAsia="仿宋_GB2312"/>
          <w:sz w:val="24"/>
          <w:szCs w:val="24"/>
          <w:u w:val="single"/>
        </w:rPr>
        <w:t>按通用条款</w:t>
      </w:r>
      <w:r>
        <w:rPr>
          <w:rFonts w:ascii="Verdana" w:hAnsi="Verdana" w:eastAsia="仿宋_GB2312"/>
          <w:sz w:val="24"/>
          <w:szCs w:val="24"/>
        </w:rPr>
        <w:t>。</w:t>
      </w:r>
    </w:p>
    <w:p w14:paraId="74D0F233">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选定争议评审员的期限：</w:t>
      </w:r>
      <w:r>
        <w:rPr>
          <w:rFonts w:ascii="Verdana" w:hAnsi="Verdana" w:eastAsia="仿宋_GB2312"/>
          <w:sz w:val="24"/>
          <w:szCs w:val="24"/>
          <w:u w:val="single"/>
        </w:rPr>
        <w:t>按通用条款</w:t>
      </w:r>
      <w:r>
        <w:rPr>
          <w:rFonts w:ascii="Verdana" w:hAnsi="Verdana" w:eastAsia="仿宋_GB2312"/>
          <w:sz w:val="24"/>
          <w:szCs w:val="24"/>
        </w:rPr>
        <w:t>。</w:t>
      </w:r>
    </w:p>
    <w:p w14:paraId="34FBEBAC">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争议评审小组成员的报酬承担方式：</w:t>
      </w:r>
      <w:r>
        <w:rPr>
          <w:rFonts w:ascii="Verdana" w:hAnsi="Verdana" w:eastAsia="仿宋_GB2312"/>
          <w:sz w:val="24"/>
          <w:szCs w:val="24"/>
          <w:u w:val="single"/>
        </w:rPr>
        <w:t>按通用条款</w:t>
      </w:r>
      <w:r>
        <w:rPr>
          <w:rFonts w:ascii="Verdana" w:hAnsi="Verdana" w:eastAsia="仿宋_GB2312"/>
          <w:sz w:val="24"/>
          <w:szCs w:val="24"/>
        </w:rPr>
        <w:t>。</w:t>
      </w:r>
    </w:p>
    <w:p w14:paraId="59B6CA3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其他事项的约定：</w:t>
      </w:r>
      <w:r>
        <w:rPr>
          <w:rFonts w:ascii="Verdana" w:hAnsi="Verdana" w:eastAsia="仿宋_GB2312"/>
          <w:sz w:val="24"/>
          <w:szCs w:val="24"/>
          <w:u w:val="single"/>
        </w:rPr>
        <w:t xml:space="preserve">/ </w:t>
      </w:r>
      <w:r>
        <w:rPr>
          <w:rFonts w:ascii="Verdana" w:hAnsi="Verdana" w:eastAsia="仿宋_GB2312"/>
          <w:sz w:val="24"/>
          <w:szCs w:val="24"/>
        </w:rPr>
        <w:t>。</w:t>
      </w:r>
    </w:p>
    <w:p w14:paraId="42E445CD">
      <w:pPr>
        <w:autoSpaceDE w:val="0"/>
        <w:autoSpaceDN w:val="0"/>
        <w:adjustRightInd w:val="0"/>
        <w:snapToGrid w:val="0"/>
        <w:spacing w:line="300" w:lineRule="auto"/>
        <w:ind w:firstLine="480" w:firstLineChars="200"/>
        <w:outlineLvl w:val="0"/>
        <w:rPr>
          <w:rFonts w:ascii="Verdana" w:hAnsi="Verdana" w:eastAsia="仿宋_GB2312"/>
          <w:sz w:val="24"/>
          <w:szCs w:val="24"/>
        </w:rPr>
      </w:pPr>
      <w:r>
        <w:rPr>
          <w:rFonts w:ascii="Verdana" w:hAnsi="Verdana" w:eastAsia="仿宋_GB2312"/>
          <w:sz w:val="24"/>
          <w:szCs w:val="24"/>
        </w:rPr>
        <w:t>19.1.2争议评审小组的决定</w:t>
      </w:r>
    </w:p>
    <w:p w14:paraId="20D040D4">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合同当事人关于本项的约定：</w:t>
      </w:r>
      <w:r>
        <w:rPr>
          <w:rFonts w:ascii="Verdana" w:hAnsi="Verdana" w:eastAsia="仿宋_GB2312"/>
          <w:sz w:val="24"/>
          <w:szCs w:val="24"/>
          <w:u w:val="single"/>
        </w:rPr>
        <w:t xml:space="preserve">/ </w:t>
      </w:r>
      <w:r>
        <w:rPr>
          <w:rFonts w:ascii="Verdana" w:hAnsi="Verdana" w:eastAsia="仿宋_GB2312"/>
          <w:sz w:val="24"/>
          <w:szCs w:val="24"/>
        </w:rPr>
        <w:t>。</w:t>
      </w:r>
    </w:p>
    <w:p w14:paraId="5F79FBF2">
      <w:pPr>
        <w:adjustRightInd w:val="0"/>
        <w:snapToGrid w:val="0"/>
        <w:spacing w:after="120" w:line="300" w:lineRule="auto"/>
        <w:ind w:firstLine="480" w:firstLineChars="200"/>
        <w:outlineLvl w:val="0"/>
        <w:rPr>
          <w:rFonts w:ascii="Verdana" w:hAnsi="Verdana" w:eastAsia="黑体"/>
          <w:sz w:val="24"/>
          <w:szCs w:val="24"/>
        </w:rPr>
      </w:pPr>
      <w:r>
        <w:rPr>
          <w:rFonts w:ascii="Verdana" w:hAnsi="Verdana" w:eastAsia="黑体"/>
          <w:sz w:val="24"/>
          <w:szCs w:val="24"/>
        </w:rPr>
        <w:t>19.2仲裁或诉讼</w:t>
      </w:r>
      <w:bookmarkEnd w:id="533"/>
    </w:p>
    <w:p w14:paraId="1F70B7BA">
      <w:pPr>
        <w:adjustRightInd w:val="0"/>
        <w:snapToGrid w:val="0"/>
        <w:spacing w:after="120" w:line="300" w:lineRule="auto"/>
        <w:ind w:firstLine="480" w:firstLineChars="200"/>
        <w:rPr>
          <w:rFonts w:ascii="Verdana" w:hAnsi="Verdana" w:eastAsia="黑体"/>
          <w:sz w:val="24"/>
          <w:szCs w:val="24"/>
        </w:rPr>
      </w:pPr>
      <w:r>
        <w:rPr>
          <w:rFonts w:ascii="Verdana" w:hAnsi="Verdana" w:eastAsia="仿宋_GB2312"/>
          <w:sz w:val="24"/>
          <w:szCs w:val="24"/>
        </w:rPr>
        <w:t>因合同及合同有关事项发生的争议，按下列第</w:t>
      </w:r>
      <w:r>
        <w:rPr>
          <w:rFonts w:ascii="Verdana" w:hAnsi="Verdana" w:eastAsia="仿宋_GB2312"/>
          <w:sz w:val="24"/>
          <w:szCs w:val="24"/>
          <w:u w:val="single"/>
        </w:rPr>
        <w:t>2</w:t>
      </w:r>
      <w:r>
        <w:rPr>
          <w:rFonts w:ascii="Verdana" w:hAnsi="Verdana" w:eastAsia="仿宋_GB2312"/>
          <w:sz w:val="24"/>
          <w:szCs w:val="24"/>
        </w:rPr>
        <w:t>种方式解决：</w:t>
      </w:r>
    </w:p>
    <w:p w14:paraId="31791AD7">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（1）向</w:t>
      </w:r>
      <w:r>
        <w:rPr>
          <w:rFonts w:ascii="Verdana" w:hAnsi="Verdana" w:eastAsia="仿宋_GB2312"/>
          <w:sz w:val="24"/>
          <w:szCs w:val="24"/>
          <w:u w:val="single"/>
        </w:rPr>
        <w:t>扬州市</w:t>
      </w:r>
      <w:r>
        <w:rPr>
          <w:rFonts w:ascii="Verdana" w:hAnsi="Verdana" w:eastAsia="仿宋_GB2312"/>
          <w:sz w:val="24"/>
          <w:szCs w:val="24"/>
        </w:rPr>
        <w:t>仲裁委员会申请仲裁；</w:t>
      </w:r>
    </w:p>
    <w:p w14:paraId="73CE3341">
      <w:pPr>
        <w:adjustRightInd w:val="0"/>
        <w:snapToGrid w:val="0"/>
        <w:spacing w:line="300" w:lineRule="auto"/>
        <w:ind w:firstLine="480" w:firstLineChars="200"/>
        <w:rPr>
          <w:rFonts w:ascii="Verdana" w:hAnsi="Verdana" w:eastAsia="仿宋_GB2312"/>
          <w:sz w:val="24"/>
          <w:szCs w:val="24"/>
        </w:rPr>
      </w:pPr>
      <w:r>
        <w:rPr>
          <w:rFonts w:ascii="Verdana" w:hAnsi="Verdana" w:eastAsia="仿宋_GB2312"/>
          <w:sz w:val="24"/>
          <w:szCs w:val="24"/>
        </w:rPr>
        <w:t>（2）向</w:t>
      </w:r>
      <w:r>
        <w:rPr>
          <w:rFonts w:hint="eastAsia" w:ascii="Verdana" w:hAnsi="Verdana" w:eastAsia="仿宋_GB2312"/>
          <w:sz w:val="24"/>
          <w:szCs w:val="24"/>
          <w:u w:val="single"/>
        </w:rPr>
        <w:t xml:space="preserve">      </w:t>
      </w:r>
      <w:r>
        <w:rPr>
          <w:rFonts w:ascii="Verdana" w:hAnsi="Verdana" w:eastAsia="仿宋_GB2312"/>
          <w:sz w:val="24"/>
          <w:szCs w:val="24"/>
        </w:rPr>
        <w:t>人民法院起诉。</w:t>
      </w:r>
      <w:bookmarkEnd w:id="534"/>
      <w:bookmarkEnd w:id="535"/>
      <w:bookmarkEnd w:id="536"/>
      <w:bookmarkEnd w:id="537"/>
      <w:bookmarkEnd w:id="538"/>
      <w:bookmarkEnd w:id="539"/>
    </w:p>
    <w:p w14:paraId="269A48C8">
      <w:pPr>
        <w:adjustRightInd w:val="0"/>
        <w:snapToGrid w:val="0"/>
        <w:spacing w:before="120" w:after="60" w:line="300" w:lineRule="auto"/>
        <w:jc w:val="center"/>
        <w:rPr>
          <w:rFonts w:hint="eastAsia" w:asciiTheme="minorEastAsia" w:hAnsiTheme="minorEastAsia" w:eastAsiaTheme="minorEastAsia"/>
          <w:sz w:val="30"/>
          <w:szCs w:val="30"/>
        </w:rPr>
      </w:pPr>
      <w:r>
        <w:rPr>
          <w:rFonts w:eastAsia="仿宋_GB2312"/>
          <w:sz w:val="24"/>
          <w:szCs w:val="24"/>
        </w:rPr>
        <w:br w:type="page"/>
      </w:r>
      <w:r>
        <w:rPr>
          <w:rFonts w:hint="eastAsia" w:cs="楷体_GB2312" w:asciiTheme="minorEastAsia" w:hAnsiTheme="minorEastAsia" w:eastAsiaTheme="minorEastAsia"/>
          <w:sz w:val="30"/>
          <w:szCs w:val="30"/>
        </w:rPr>
        <w:t>工程质量保修书</w:t>
      </w:r>
    </w:p>
    <w:p w14:paraId="32637A7B">
      <w:pPr>
        <w:pStyle w:val="40"/>
        <w:snapToGrid w:val="0"/>
        <w:spacing w:before="0" w:beforeAutospacing="0" w:after="0" w:afterAutospacing="0" w:line="360" w:lineRule="auto"/>
        <w:ind w:firstLine="484" w:firstLineChars="202"/>
        <w:rPr>
          <w:rFonts w:hint="eastAsia" w:cs="楷体_GB2312" w:asciiTheme="minorEastAsia" w:hAnsiTheme="minorEastAsia" w:eastAsiaTheme="minorEastAsia"/>
          <w:kern w:val="2"/>
        </w:rPr>
      </w:pPr>
      <w:r>
        <w:rPr>
          <w:rFonts w:hint="eastAsia" w:cs="楷体_GB2312" w:asciiTheme="minorEastAsia" w:hAnsiTheme="minorEastAsia" w:eastAsiaTheme="minorEastAsia"/>
          <w:kern w:val="2"/>
        </w:rPr>
        <w:t>发包人</w:t>
      </w:r>
      <w:r>
        <w:rPr>
          <w:rFonts w:cs="楷体_GB2312" w:asciiTheme="minorEastAsia" w:hAnsiTheme="minorEastAsia" w:eastAsiaTheme="minorEastAsia"/>
          <w:kern w:val="2"/>
        </w:rPr>
        <w:t>(</w:t>
      </w:r>
      <w:r>
        <w:rPr>
          <w:rFonts w:hint="eastAsia" w:cs="楷体_GB2312" w:asciiTheme="minorEastAsia" w:hAnsiTheme="minorEastAsia" w:eastAsiaTheme="minorEastAsia"/>
          <w:kern w:val="2"/>
        </w:rPr>
        <w:t>全称</w:t>
      </w:r>
      <w:r>
        <w:rPr>
          <w:rFonts w:cs="楷体_GB2312" w:asciiTheme="minorEastAsia" w:hAnsiTheme="minorEastAsia" w:eastAsiaTheme="minorEastAsia"/>
          <w:kern w:val="2"/>
        </w:rPr>
        <w:t>)</w:t>
      </w:r>
      <w:r>
        <w:rPr>
          <w:rFonts w:hint="eastAsia" w:cs="楷体_GB2312" w:asciiTheme="minorEastAsia" w:hAnsiTheme="minorEastAsia" w:eastAsiaTheme="minorEastAsia"/>
          <w:kern w:val="2"/>
        </w:rPr>
        <w:t>：</w:t>
      </w:r>
      <w:r>
        <w:rPr>
          <w:rFonts w:hint="eastAsia" w:cs="楷体_GB2312" w:asciiTheme="minorEastAsia" w:hAnsiTheme="minorEastAsia" w:eastAsiaTheme="minorEastAsia"/>
          <w:kern w:val="2"/>
          <w:u w:val="single"/>
        </w:rPr>
        <w:t>江苏万杨物业管理服务有限公司江都分公司</w:t>
      </w:r>
    </w:p>
    <w:p w14:paraId="281A9577">
      <w:pPr>
        <w:pStyle w:val="40"/>
        <w:snapToGrid w:val="0"/>
        <w:spacing w:before="0" w:beforeAutospacing="0" w:after="0" w:afterAutospacing="0" w:line="360" w:lineRule="auto"/>
        <w:ind w:firstLine="484" w:firstLineChars="202"/>
        <w:rPr>
          <w:rFonts w:hint="eastAsia" w:cs="楷体_GB2312" w:asciiTheme="minorEastAsia" w:hAnsiTheme="minorEastAsia" w:eastAsiaTheme="minorEastAsia"/>
          <w:kern w:val="2"/>
        </w:rPr>
      </w:pPr>
      <w:r>
        <w:rPr>
          <w:rFonts w:hint="eastAsia" w:cs="楷体_GB2312" w:asciiTheme="minorEastAsia" w:hAnsiTheme="minorEastAsia" w:eastAsiaTheme="minorEastAsia"/>
          <w:kern w:val="2"/>
        </w:rPr>
        <w:t>承包人</w:t>
      </w:r>
      <w:r>
        <w:rPr>
          <w:rFonts w:cs="楷体_GB2312" w:asciiTheme="minorEastAsia" w:hAnsiTheme="minorEastAsia" w:eastAsiaTheme="minorEastAsia"/>
          <w:kern w:val="2"/>
        </w:rPr>
        <w:t>(</w:t>
      </w:r>
      <w:r>
        <w:rPr>
          <w:rFonts w:hint="eastAsia" w:cs="楷体_GB2312" w:asciiTheme="minorEastAsia" w:hAnsiTheme="minorEastAsia" w:eastAsiaTheme="minorEastAsia"/>
          <w:kern w:val="2"/>
        </w:rPr>
        <w:t>全称</w:t>
      </w:r>
      <w:r>
        <w:rPr>
          <w:rFonts w:cs="楷体_GB2312" w:asciiTheme="minorEastAsia" w:hAnsiTheme="minorEastAsia" w:eastAsiaTheme="minorEastAsia"/>
          <w:kern w:val="2"/>
        </w:rPr>
        <w:t>)</w:t>
      </w:r>
      <w:r>
        <w:rPr>
          <w:rFonts w:hint="eastAsia" w:cs="楷体_GB2312" w:asciiTheme="minorEastAsia" w:hAnsiTheme="minorEastAsia" w:eastAsiaTheme="minorEastAsia"/>
          <w:kern w:val="2"/>
        </w:rPr>
        <w:t>：</w:t>
      </w:r>
      <w:r>
        <w:rPr>
          <w:rFonts w:hint="eastAsia" w:cs="楷体_GB2312" w:asciiTheme="minorEastAsia" w:hAnsiTheme="minorEastAsia" w:eastAsiaTheme="minorEastAsia"/>
          <w:kern w:val="2"/>
          <w:u w:val="single"/>
        </w:rPr>
        <w:t xml:space="preserve">                                </w:t>
      </w:r>
    </w:p>
    <w:p w14:paraId="51A5DC6B">
      <w:pPr>
        <w:spacing w:line="360" w:lineRule="auto"/>
        <w:ind w:firstLine="480" w:firstLineChars="200"/>
        <w:rPr>
          <w:rFonts w:hint="eastAsia" w:ascii="宋体" w:hAnsi="宋体"/>
          <w:sz w:val="24"/>
          <w:szCs w:val="24"/>
        </w:rPr>
      </w:pPr>
      <w:r>
        <w:rPr>
          <w:rFonts w:ascii="宋体" w:hAnsi="宋体"/>
          <w:sz w:val="24"/>
          <w:szCs w:val="24"/>
        </w:rPr>
        <w:t>发包人和承包人根据《中华人民共和国建筑法》和《建设工程质量管理条例》，经协商一致就</w:t>
      </w:r>
      <w:r>
        <w:rPr>
          <w:rFonts w:hint="eastAsia" w:ascii="宋体" w:hAnsi="宋体"/>
          <w:sz w:val="24"/>
          <w:szCs w:val="24"/>
          <w:u w:val="single"/>
        </w:rPr>
        <w:t xml:space="preserve">               </w:t>
      </w:r>
      <w:r>
        <w:rPr>
          <w:rFonts w:ascii="宋体" w:hAnsi="宋体"/>
          <w:sz w:val="24"/>
          <w:szCs w:val="24"/>
        </w:rPr>
        <w:t>（工程全称）签订工程质量保修书。</w:t>
      </w:r>
    </w:p>
    <w:p w14:paraId="039A5860">
      <w:pPr>
        <w:spacing w:line="360" w:lineRule="auto"/>
        <w:outlineLvl w:val="0"/>
        <w:rPr>
          <w:rFonts w:hint="eastAsia" w:ascii="宋体" w:hAnsi="宋体"/>
          <w:sz w:val="24"/>
          <w:szCs w:val="24"/>
        </w:rPr>
      </w:pPr>
      <w:r>
        <w:rPr>
          <w:rFonts w:ascii="宋体" w:hAnsi="宋体"/>
          <w:sz w:val="24"/>
          <w:szCs w:val="24"/>
        </w:rPr>
        <w:t>　　一、工程质量保修范围和内容</w:t>
      </w:r>
    </w:p>
    <w:p w14:paraId="6C33E5DD">
      <w:pPr>
        <w:spacing w:line="360" w:lineRule="auto"/>
        <w:rPr>
          <w:rFonts w:hint="eastAsia" w:ascii="宋体" w:hAnsi="宋体"/>
          <w:sz w:val="24"/>
          <w:szCs w:val="24"/>
        </w:rPr>
      </w:pPr>
      <w:r>
        <w:rPr>
          <w:rFonts w:ascii="宋体" w:hAnsi="宋体"/>
          <w:sz w:val="24"/>
          <w:szCs w:val="24"/>
        </w:rPr>
        <w:t>　　承包人在质量保修期内，按照有关法律规定和合同约定，承担工程质量保修责任。</w:t>
      </w:r>
    </w:p>
    <w:p w14:paraId="4133B6E0">
      <w:pPr>
        <w:spacing w:line="360" w:lineRule="auto"/>
        <w:rPr>
          <w:rFonts w:hint="eastAsia" w:ascii="宋体" w:hAnsi="宋体"/>
          <w:sz w:val="24"/>
          <w:szCs w:val="24"/>
        </w:rPr>
      </w:pPr>
      <w:r>
        <w:rPr>
          <w:rFonts w:ascii="宋体" w:hAnsi="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p>
    <w:p w14:paraId="3BAF59B7">
      <w:pPr>
        <w:spacing w:line="360" w:lineRule="auto"/>
        <w:outlineLvl w:val="0"/>
        <w:rPr>
          <w:rFonts w:hint="eastAsia" w:ascii="宋体" w:hAnsi="宋体"/>
          <w:sz w:val="24"/>
          <w:szCs w:val="24"/>
        </w:rPr>
      </w:pPr>
      <w:r>
        <w:rPr>
          <w:rFonts w:ascii="宋体" w:hAnsi="宋体"/>
          <w:b/>
          <w:sz w:val="24"/>
          <w:szCs w:val="24"/>
        </w:rPr>
        <w:t>　　</w:t>
      </w:r>
      <w:r>
        <w:rPr>
          <w:rFonts w:ascii="宋体" w:hAnsi="宋体"/>
          <w:sz w:val="24"/>
          <w:szCs w:val="24"/>
        </w:rPr>
        <w:t>二、质量保修期</w:t>
      </w:r>
    </w:p>
    <w:p w14:paraId="5EC21D95">
      <w:pPr>
        <w:spacing w:line="360" w:lineRule="auto"/>
        <w:ind w:firstLine="480" w:firstLineChars="200"/>
        <w:rPr>
          <w:rFonts w:hint="eastAsia" w:ascii="宋体" w:hAnsi="宋体"/>
          <w:sz w:val="24"/>
          <w:szCs w:val="24"/>
        </w:rPr>
      </w:pPr>
      <w:r>
        <w:rPr>
          <w:rFonts w:ascii="宋体" w:hAnsi="宋体"/>
          <w:sz w:val="24"/>
          <w:szCs w:val="24"/>
        </w:rPr>
        <w:t>根据《建设工程质量管理条例》及有关规定，工程的质量保修期如下：</w:t>
      </w:r>
    </w:p>
    <w:p w14:paraId="6C74FCCD">
      <w:pPr>
        <w:spacing w:line="360" w:lineRule="auto"/>
        <w:ind w:firstLine="600" w:firstLineChars="250"/>
        <w:rPr>
          <w:rFonts w:hint="eastAsia" w:ascii="宋体" w:hAnsi="宋体"/>
          <w:sz w:val="24"/>
          <w:szCs w:val="24"/>
        </w:rPr>
      </w:pPr>
      <w:r>
        <w:rPr>
          <w:rFonts w:hint="eastAsia" w:ascii="宋体" w:hAnsi="宋体"/>
          <w:sz w:val="24"/>
          <w:szCs w:val="24"/>
        </w:rPr>
        <w:t>1．地基基础工程和主体结构工程为设计文件规定的工程合理使用年限；</w:t>
      </w:r>
    </w:p>
    <w:p w14:paraId="63DEF867">
      <w:pPr>
        <w:spacing w:line="360" w:lineRule="auto"/>
        <w:ind w:firstLine="600" w:firstLineChars="250"/>
        <w:rPr>
          <w:rFonts w:hint="eastAsia" w:ascii="宋体" w:hAnsi="宋体"/>
          <w:sz w:val="24"/>
          <w:szCs w:val="24"/>
        </w:rPr>
      </w:pPr>
      <w:r>
        <w:rPr>
          <w:rFonts w:hint="eastAsia" w:ascii="宋体" w:hAnsi="宋体"/>
          <w:sz w:val="24"/>
          <w:szCs w:val="24"/>
        </w:rPr>
        <w:t>2．</w:t>
      </w:r>
      <w:r>
        <w:rPr>
          <w:rFonts w:ascii="宋体" w:hAnsi="宋体"/>
          <w:sz w:val="24"/>
          <w:szCs w:val="24"/>
        </w:rPr>
        <w:t>屋面防水工程、有防水要求的卫生间、房间和外墙面的防渗</w:t>
      </w:r>
      <w:r>
        <w:rPr>
          <w:rFonts w:hint="eastAsia" w:ascii="宋体" w:hAnsi="宋体"/>
          <w:sz w:val="24"/>
          <w:szCs w:val="24"/>
        </w:rPr>
        <w:t>为</w:t>
      </w:r>
      <w:r>
        <w:rPr>
          <w:rFonts w:hint="eastAsia" w:ascii="宋体" w:hAnsi="宋体"/>
          <w:sz w:val="24"/>
          <w:szCs w:val="24"/>
          <w:u w:val="single"/>
        </w:rPr>
        <w:t xml:space="preserve">  5    </w:t>
      </w:r>
      <w:r>
        <w:rPr>
          <w:rFonts w:ascii="宋体" w:hAnsi="宋体"/>
          <w:sz w:val="24"/>
          <w:szCs w:val="24"/>
        </w:rPr>
        <w:t>年；</w:t>
      </w:r>
    </w:p>
    <w:p w14:paraId="6585E822">
      <w:pPr>
        <w:spacing w:line="360" w:lineRule="auto"/>
        <w:ind w:left="420" w:leftChars="200" w:firstLine="120" w:firstLineChars="50"/>
        <w:rPr>
          <w:rFonts w:hint="eastAsia" w:ascii="宋体" w:hAnsi="宋体"/>
          <w:sz w:val="24"/>
          <w:szCs w:val="24"/>
        </w:rPr>
      </w:pPr>
      <w:r>
        <w:rPr>
          <w:rFonts w:hint="eastAsia" w:ascii="宋体" w:hAnsi="宋体"/>
          <w:sz w:val="24"/>
          <w:szCs w:val="24"/>
        </w:rPr>
        <w:t>3．</w:t>
      </w:r>
      <w:r>
        <w:rPr>
          <w:rFonts w:ascii="宋体" w:hAnsi="宋体"/>
          <w:sz w:val="24"/>
          <w:szCs w:val="24"/>
        </w:rPr>
        <w:t>装修工程为</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年；</w:t>
      </w:r>
    </w:p>
    <w:p w14:paraId="5594C1EF">
      <w:pPr>
        <w:spacing w:line="360" w:lineRule="auto"/>
        <w:ind w:left="420" w:leftChars="200" w:firstLine="120" w:firstLineChars="50"/>
        <w:rPr>
          <w:rFonts w:hint="eastAsia" w:ascii="宋体" w:hAnsi="宋体"/>
          <w:sz w:val="24"/>
          <w:szCs w:val="24"/>
        </w:rPr>
      </w:pPr>
      <w:r>
        <w:rPr>
          <w:rFonts w:hint="eastAsia" w:ascii="宋体" w:hAnsi="宋体"/>
          <w:sz w:val="24"/>
          <w:szCs w:val="24"/>
        </w:rPr>
        <w:t>4．</w:t>
      </w:r>
      <w:r>
        <w:rPr>
          <w:rFonts w:ascii="宋体" w:hAnsi="宋体"/>
          <w:sz w:val="24"/>
          <w:szCs w:val="24"/>
        </w:rPr>
        <w:t>电气管线、给排水管道、设备安装工程为</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年；</w:t>
      </w:r>
    </w:p>
    <w:p w14:paraId="65A16625">
      <w:pPr>
        <w:spacing w:line="360" w:lineRule="auto"/>
        <w:ind w:left="420" w:leftChars="200" w:firstLine="120" w:firstLineChars="50"/>
        <w:rPr>
          <w:rFonts w:hint="eastAsia" w:ascii="宋体" w:hAnsi="宋体"/>
          <w:sz w:val="24"/>
          <w:szCs w:val="24"/>
        </w:rPr>
      </w:pPr>
      <w:r>
        <w:rPr>
          <w:rFonts w:hint="eastAsia" w:ascii="宋体" w:hAnsi="宋体"/>
          <w:sz w:val="24"/>
          <w:szCs w:val="24"/>
        </w:rPr>
        <w:t>5．</w:t>
      </w:r>
      <w:r>
        <w:rPr>
          <w:rFonts w:ascii="宋体" w:hAnsi="宋体"/>
          <w:sz w:val="24"/>
          <w:szCs w:val="24"/>
        </w:rPr>
        <w:t>供热与供冷系统为</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个采暖期、供冷期；</w:t>
      </w:r>
    </w:p>
    <w:p w14:paraId="26793784">
      <w:pPr>
        <w:spacing w:line="360" w:lineRule="auto"/>
        <w:ind w:left="420" w:leftChars="200" w:firstLine="120" w:firstLineChars="50"/>
        <w:rPr>
          <w:rFonts w:hint="eastAsia" w:ascii="宋体" w:hAnsi="宋体"/>
          <w:sz w:val="24"/>
          <w:szCs w:val="24"/>
        </w:rPr>
      </w:pPr>
      <w:r>
        <w:rPr>
          <w:rFonts w:hint="eastAsia" w:ascii="宋体" w:hAnsi="宋体"/>
          <w:sz w:val="24"/>
          <w:szCs w:val="24"/>
        </w:rPr>
        <w:t>6．</w:t>
      </w:r>
      <w:r>
        <w:rPr>
          <w:rFonts w:ascii="宋体" w:hAnsi="宋体"/>
          <w:sz w:val="24"/>
          <w:szCs w:val="24"/>
        </w:rPr>
        <w:t>住宅小区内的给排水设施、道路等配套工程为</w:t>
      </w:r>
      <w:r>
        <w:rPr>
          <w:rFonts w:ascii="宋体" w:hAnsi="宋体"/>
          <w:sz w:val="24"/>
          <w:szCs w:val="24"/>
          <w:u w:val="single"/>
        </w:rPr>
        <w:t xml:space="preserve">  </w:t>
      </w:r>
      <w:r>
        <w:rPr>
          <w:rFonts w:hint="eastAsia" w:ascii="宋体" w:hAnsi="宋体"/>
          <w:sz w:val="24"/>
          <w:szCs w:val="24"/>
          <w:u w:val="single"/>
        </w:rPr>
        <w:t>2</w:t>
      </w:r>
      <w:r>
        <w:rPr>
          <w:rFonts w:ascii="宋体" w:hAnsi="宋体"/>
          <w:sz w:val="24"/>
          <w:szCs w:val="24"/>
          <w:u w:val="single"/>
        </w:rPr>
        <w:t xml:space="preserve">  </w:t>
      </w:r>
      <w:r>
        <w:rPr>
          <w:rFonts w:ascii="宋体" w:hAnsi="宋体"/>
          <w:sz w:val="24"/>
          <w:szCs w:val="24"/>
        </w:rPr>
        <w:t>年；</w:t>
      </w:r>
    </w:p>
    <w:p w14:paraId="765A5507">
      <w:pPr>
        <w:spacing w:line="360" w:lineRule="auto"/>
        <w:ind w:left="420" w:leftChars="200" w:firstLine="120" w:firstLineChars="50"/>
        <w:rPr>
          <w:rFonts w:hint="eastAsia" w:ascii="宋体" w:hAnsi="宋体"/>
          <w:sz w:val="24"/>
          <w:szCs w:val="24"/>
        </w:rPr>
      </w:pPr>
      <w:r>
        <w:rPr>
          <w:rFonts w:hint="eastAsia" w:ascii="宋体" w:hAnsi="宋体"/>
          <w:sz w:val="24"/>
          <w:szCs w:val="24"/>
        </w:rPr>
        <w:t>7．</w:t>
      </w:r>
      <w:r>
        <w:rPr>
          <w:rFonts w:ascii="宋体" w:hAnsi="宋体"/>
          <w:sz w:val="24"/>
          <w:szCs w:val="24"/>
        </w:rPr>
        <w:t>其他项目保修期限约定如下：</w:t>
      </w:r>
      <w:r>
        <w:rPr>
          <w:rFonts w:ascii="宋体" w:hAnsi="宋体"/>
          <w:sz w:val="24"/>
          <w:szCs w:val="24"/>
          <w:u w:val="single"/>
        </w:rPr>
        <w:t xml:space="preserve">    </w:t>
      </w:r>
      <w:r>
        <w:rPr>
          <w:rFonts w:hint="eastAsia" w:ascii="宋体" w:hAnsi="宋体"/>
          <w:sz w:val="24"/>
          <w:szCs w:val="24"/>
          <w:u w:val="single"/>
        </w:rPr>
        <w:t xml:space="preserve">  /  </w:t>
      </w:r>
      <w:r>
        <w:rPr>
          <w:rFonts w:ascii="宋体" w:hAnsi="宋体"/>
          <w:sz w:val="24"/>
          <w:szCs w:val="24"/>
          <w:u w:val="single"/>
        </w:rPr>
        <w:t xml:space="preserve">    </w:t>
      </w:r>
      <w:r>
        <w:rPr>
          <w:rFonts w:ascii="宋体" w:hAnsi="宋体"/>
          <w:sz w:val="24"/>
          <w:szCs w:val="24"/>
        </w:rPr>
        <w:t>。</w:t>
      </w:r>
    </w:p>
    <w:p w14:paraId="2DD4CE54">
      <w:pPr>
        <w:spacing w:line="360" w:lineRule="auto"/>
        <w:rPr>
          <w:rFonts w:hint="eastAsia" w:ascii="宋体" w:hAnsi="宋体"/>
          <w:sz w:val="24"/>
          <w:szCs w:val="24"/>
        </w:rPr>
      </w:pPr>
      <w:r>
        <w:rPr>
          <w:rFonts w:ascii="宋体" w:hAnsi="宋体"/>
          <w:sz w:val="24"/>
          <w:szCs w:val="24"/>
        </w:rPr>
        <w:t>　　质量保修期自工程竣工验收合格之日起计算。</w:t>
      </w:r>
    </w:p>
    <w:p w14:paraId="62A06D1B">
      <w:pPr>
        <w:spacing w:line="360" w:lineRule="auto"/>
        <w:ind w:firstLine="480" w:firstLineChars="200"/>
        <w:outlineLvl w:val="0"/>
        <w:rPr>
          <w:rFonts w:hint="eastAsia" w:ascii="宋体" w:hAnsi="宋体"/>
          <w:sz w:val="24"/>
          <w:szCs w:val="24"/>
        </w:rPr>
      </w:pPr>
      <w:r>
        <w:rPr>
          <w:rFonts w:ascii="宋体" w:hAnsi="宋体"/>
          <w:sz w:val="24"/>
          <w:szCs w:val="24"/>
        </w:rPr>
        <w:t>三、缺陷责任期</w:t>
      </w:r>
    </w:p>
    <w:p w14:paraId="6DDFB394">
      <w:pPr>
        <w:spacing w:line="360" w:lineRule="auto"/>
        <w:ind w:firstLine="480" w:firstLineChars="200"/>
        <w:rPr>
          <w:rFonts w:hint="eastAsia" w:ascii="宋体" w:hAnsi="宋体"/>
          <w:sz w:val="24"/>
          <w:szCs w:val="24"/>
        </w:rPr>
      </w:pPr>
      <w:r>
        <w:rPr>
          <w:rFonts w:ascii="宋体" w:hAnsi="宋体"/>
          <w:sz w:val="24"/>
          <w:szCs w:val="24"/>
        </w:rPr>
        <w:t>工程缺陷责任期为</w:t>
      </w:r>
      <w:r>
        <w:rPr>
          <w:rFonts w:ascii="宋体" w:hAnsi="宋体"/>
          <w:sz w:val="24"/>
          <w:szCs w:val="24"/>
          <w:u w:val="single"/>
        </w:rPr>
        <w:t xml:space="preserve">  </w:t>
      </w:r>
      <w:r>
        <w:rPr>
          <w:rFonts w:hint="eastAsia" w:ascii="宋体" w:hAnsi="宋体"/>
          <w:sz w:val="24"/>
          <w:szCs w:val="24"/>
          <w:u w:val="single"/>
        </w:rPr>
        <w:t>24</w:t>
      </w:r>
      <w:r>
        <w:rPr>
          <w:rFonts w:ascii="宋体" w:hAnsi="宋体"/>
          <w:sz w:val="24"/>
          <w:szCs w:val="24"/>
          <w:u w:val="single"/>
        </w:rPr>
        <w:t xml:space="preserve">  </w:t>
      </w:r>
      <w:r>
        <w:rPr>
          <w:rFonts w:ascii="宋体" w:hAnsi="宋体"/>
          <w:sz w:val="24"/>
          <w:szCs w:val="24"/>
        </w:rPr>
        <w:t>个月，缺陷责任期自工程</w:t>
      </w:r>
      <w:r>
        <w:rPr>
          <w:rFonts w:hint="eastAsia" w:ascii="宋体" w:hAnsi="宋体"/>
          <w:sz w:val="24"/>
          <w:szCs w:val="24"/>
        </w:rPr>
        <w:t>通过竣工验收</w:t>
      </w:r>
      <w:r>
        <w:rPr>
          <w:rFonts w:ascii="宋体" w:hAnsi="宋体"/>
          <w:sz w:val="24"/>
          <w:szCs w:val="24"/>
        </w:rPr>
        <w:t>之日起计算。单位工程先于全部工程进行验收，单位工程缺陷责任期自单位工程验收合格之日起算。</w:t>
      </w:r>
    </w:p>
    <w:p w14:paraId="5B3E586E">
      <w:pPr>
        <w:spacing w:line="360" w:lineRule="auto"/>
        <w:ind w:firstLine="480" w:firstLineChars="200"/>
        <w:rPr>
          <w:rFonts w:hint="eastAsia" w:ascii="宋体" w:hAnsi="宋体"/>
          <w:sz w:val="24"/>
          <w:szCs w:val="24"/>
        </w:rPr>
      </w:pPr>
      <w:r>
        <w:rPr>
          <w:rFonts w:ascii="宋体" w:hAnsi="宋体"/>
          <w:sz w:val="24"/>
          <w:szCs w:val="24"/>
        </w:rPr>
        <w:t>缺陷责任期终止后，发包人应退还剩余的质量保证金。</w:t>
      </w:r>
    </w:p>
    <w:p w14:paraId="29766366">
      <w:pPr>
        <w:spacing w:line="360" w:lineRule="auto"/>
        <w:outlineLvl w:val="0"/>
        <w:rPr>
          <w:rFonts w:hint="eastAsia" w:ascii="宋体" w:hAnsi="宋体"/>
          <w:sz w:val="24"/>
          <w:szCs w:val="24"/>
        </w:rPr>
      </w:pPr>
      <w:r>
        <w:rPr>
          <w:rFonts w:ascii="宋体" w:hAnsi="宋体"/>
          <w:sz w:val="24"/>
          <w:szCs w:val="24"/>
        </w:rPr>
        <w:t xml:space="preserve">    四、质量保修责任</w:t>
      </w:r>
    </w:p>
    <w:p w14:paraId="31F9B754">
      <w:pPr>
        <w:spacing w:line="360" w:lineRule="auto"/>
        <w:ind w:left="105" w:leftChars="50" w:firstLine="491" w:firstLineChars="205"/>
        <w:rPr>
          <w:rFonts w:hint="eastAsia" w:ascii="宋体" w:hAnsi="宋体"/>
          <w:sz w:val="24"/>
          <w:szCs w:val="24"/>
        </w:rPr>
      </w:pPr>
      <w:r>
        <w:rPr>
          <w:rFonts w:hint="eastAsia" w:ascii="宋体" w:hAnsi="宋体"/>
          <w:sz w:val="24"/>
          <w:szCs w:val="24"/>
        </w:rPr>
        <w:t>1．</w:t>
      </w:r>
      <w:r>
        <w:rPr>
          <w:rFonts w:ascii="宋体" w:hAnsi="宋体"/>
          <w:sz w:val="24"/>
          <w:szCs w:val="24"/>
        </w:rPr>
        <w:t>属于保修范围、内容的项目，承包人应当在接到保修通知之日起7天内派人保修。承包人不在约定期限内派人保修的，发包人可以委托他人修理。</w:t>
      </w:r>
    </w:p>
    <w:p w14:paraId="1E69F638">
      <w:pPr>
        <w:spacing w:line="360" w:lineRule="auto"/>
        <w:ind w:left="105" w:leftChars="50" w:firstLine="491" w:firstLineChars="205"/>
        <w:rPr>
          <w:rFonts w:hint="eastAsia" w:ascii="宋体" w:hAnsi="宋体"/>
          <w:sz w:val="24"/>
          <w:szCs w:val="24"/>
        </w:rPr>
      </w:pPr>
      <w:r>
        <w:rPr>
          <w:rFonts w:hint="eastAsia" w:ascii="宋体" w:hAnsi="宋体"/>
          <w:sz w:val="24"/>
          <w:szCs w:val="24"/>
        </w:rPr>
        <w:t>2．</w:t>
      </w:r>
      <w:r>
        <w:rPr>
          <w:rFonts w:ascii="宋体" w:hAnsi="宋体"/>
          <w:sz w:val="24"/>
          <w:szCs w:val="24"/>
        </w:rPr>
        <w:t>发生紧急事故需抢修的，承包人在接到事故通知后，应当立即到达事故现场抢修。</w:t>
      </w:r>
    </w:p>
    <w:p w14:paraId="307DFA43">
      <w:pPr>
        <w:spacing w:line="360" w:lineRule="auto"/>
        <w:ind w:left="105" w:leftChars="50" w:firstLine="491" w:firstLineChars="205"/>
        <w:rPr>
          <w:rFonts w:hint="eastAsia" w:ascii="宋体" w:hAnsi="宋体"/>
          <w:sz w:val="24"/>
          <w:szCs w:val="24"/>
        </w:rPr>
      </w:pPr>
      <w:r>
        <w:rPr>
          <w:rFonts w:hint="eastAsia" w:ascii="宋体" w:hAnsi="宋体"/>
          <w:sz w:val="24"/>
          <w:szCs w:val="24"/>
        </w:rPr>
        <w:t>3．</w:t>
      </w:r>
      <w:r>
        <w:rPr>
          <w:rFonts w:ascii="宋体" w:hAnsi="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8CAAF4D">
      <w:pPr>
        <w:spacing w:line="360" w:lineRule="auto"/>
        <w:ind w:left="420" w:leftChars="200" w:firstLine="120" w:firstLineChars="50"/>
        <w:rPr>
          <w:rFonts w:hint="eastAsia" w:ascii="宋体" w:hAnsi="宋体"/>
          <w:sz w:val="24"/>
          <w:szCs w:val="24"/>
        </w:rPr>
      </w:pPr>
      <w:r>
        <w:rPr>
          <w:rFonts w:hint="eastAsia" w:ascii="宋体" w:hAnsi="宋体"/>
          <w:sz w:val="24"/>
          <w:szCs w:val="24"/>
        </w:rPr>
        <w:t>4．</w:t>
      </w:r>
      <w:r>
        <w:rPr>
          <w:rFonts w:ascii="宋体" w:hAnsi="宋体"/>
          <w:sz w:val="24"/>
          <w:szCs w:val="24"/>
        </w:rPr>
        <w:t>质量保修完成后，由发包人组织验收。</w:t>
      </w:r>
    </w:p>
    <w:p w14:paraId="21E1F263">
      <w:pPr>
        <w:spacing w:line="360" w:lineRule="auto"/>
        <w:outlineLvl w:val="0"/>
        <w:rPr>
          <w:rFonts w:hint="eastAsia" w:ascii="宋体" w:hAnsi="宋体"/>
          <w:sz w:val="24"/>
          <w:szCs w:val="24"/>
        </w:rPr>
      </w:pPr>
      <w:r>
        <w:rPr>
          <w:rFonts w:ascii="宋体" w:hAnsi="宋体"/>
          <w:sz w:val="24"/>
          <w:szCs w:val="24"/>
        </w:rPr>
        <w:t>　　五、保修费用</w:t>
      </w:r>
    </w:p>
    <w:p w14:paraId="4B1B029C">
      <w:pPr>
        <w:spacing w:line="360" w:lineRule="auto"/>
        <w:rPr>
          <w:rFonts w:hint="eastAsia" w:ascii="宋体" w:hAnsi="宋体"/>
          <w:sz w:val="24"/>
          <w:szCs w:val="24"/>
        </w:rPr>
      </w:pPr>
      <w:r>
        <w:rPr>
          <w:rFonts w:ascii="宋体" w:hAnsi="宋体"/>
          <w:sz w:val="24"/>
          <w:szCs w:val="24"/>
        </w:rPr>
        <w:t>　　</w:t>
      </w:r>
      <w:r>
        <w:rPr>
          <w:rFonts w:hint="eastAsia" w:cs="楷体_GB2312" w:asciiTheme="minorEastAsia" w:hAnsiTheme="minorEastAsia"/>
          <w:sz w:val="24"/>
          <w:szCs w:val="24"/>
        </w:rPr>
        <w:t>保修费用由造成质量缺陷的责任方承担。本工程约定的工程质量保修金为审定价的</w:t>
      </w:r>
      <w:r>
        <w:rPr>
          <w:rFonts w:hint="eastAsia" w:cs="楷体_GB2312" w:asciiTheme="minorEastAsia" w:hAnsiTheme="minorEastAsia"/>
          <w:sz w:val="24"/>
          <w:szCs w:val="24"/>
          <w:u w:val="single"/>
        </w:rPr>
        <w:t xml:space="preserve">3 </w:t>
      </w:r>
      <w:r>
        <w:rPr>
          <w:rFonts w:hint="eastAsia" w:cs="楷体_GB2312" w:asciiTheme="minorEastAsia" w:hAnsiTheme="minorEastAsia"/>
          <w:sz w:val="24"/>
          <w:szCs w:val="24"/>
        </w:rPr>
        <w:t>%。质量保修金银行利率：</w:t>
      </w:r>
      <w:r>
        <w:rPr>
          <w:rFonts w:hint="eastAsia" w:cs="楷体_GB2312" w:asciiTheme="minorEastAsia" w:hAnsiTheme="minorEastAsia"/>
          <w:sz w:val="24"/>
          <w:szCs w:val="24"/>
          <w:u w:val="single"/>
        </w:rPr>
        <w:t>不计</w:t>
      </w:r>
      <w:r>
        <w:rPr>
          <w:rFonts w:ascii="宋体" w:hAnsi="宋体"/>
          <w:sz w:val="24"/>
          <w:szCs w:val="24"/>
        </w:rPr>
        <w:t>。</w:t>
      </w:r>
    </w:p>
    <w:p w14:paraId="6EC54924">
      <w:pPr>
        <w:spacing w:line="360" w:lineRule="auto"/>
        <w:ind w:firstLine="600"/>
        <w:outlineLvl w:val="0"/>
        <w:rPr>
          <w:rFonts w:hint="eastAsia" w:ascii="宋体" w:hAnsi="宋体"/>
          <w:sz w:val="24"/>
          <w:szCs w:val="24"/>
          <w:u w:val="single"/>
        </w:rPr>
      </w:pPr>
      <w:r>
        <w:rPr>
          <w:rFonts w:ascii="宋体" w:hAnsi="宋体"/>
          <w:b/>
          <w:sz w:val="24"/>
          <w:szCs w:val="24"/>
        </w:rPr>
        <w:t>六</w:t>
      </w:r>
      <w:r>
        <w:rPr>
          <w:rFonts w:ascii="宋体" w:hAnsi="宋体"/>
          <w:sz w:val="24"/>
          <w:szCs w:val="24"/>
        </w:rPr>
        <w:t>、双方约定的其他工程质量保修事项：</w:t>
      </w:r>
      <w:r>
        <w:rPr>
          <w:rFonts w:hint="eastAsia"/>
          <w:sz w:val="24"/>
          <w:szCs w:val="24"/>
          <w:u w:val="single"/>
        </w:rPr>
        <w:t>保修期内因承包人不能及时履行保修义务，发包人有权另请第三方维修，费用按实际发生费用的2倍从审定价款中扣除</w:t>
      </w:r>
      <w:r>
        <w:rPr>
          <w:rFonts w:ascii="宋体" w:hAnsi="宋体"/>
          <w:sz w:val="24"/>
          <w:szCs w:val="24"/>
        </w:rPr>
        <w:t>。</w:t>
      </w:r>
    </w:p>
    <w:p w14:paraId="0D0E5718">
      <w:pPr>
        <w:spacing w:line="360" w:lineRule="auto"/>
        <w:ind w:firstLine="456" w:firstLineChars="190"/>
        <w:rPr>
          <w:rFonts w:hint="eastAsia" w:ascii="宋体" w:hAnsi="宋体"/>
          <w:sz w:val="24"/>
          <w:szCs w:val="24"/>
        </w:rPr>
      </w:pPr>
      <w:r>
        <w:rPr>
          <w:rFonts w:ascii="宋体" w:hAnsi="宋体"/>
          <w:sz w:val="24"/>
          <w:szCs w:val="24"/>
        </w:rPr>
        <w:t>工程质量保修书由发包人、承包人在工程竣工验收前共同签署，作为施工合同附件，其有效期限至保修期满。</w:t>
      </w:r>
    </w:p>
    <w:p w14:paraId="2BFA7A56">
      <w:pPr>
        <w:spacing w:line="480" w:lineRule="auto"/>
        <w:ind w:firstLine="420"/>
        <w:rPr>
          <w:rFonts w:hint="eastAsia" w:ascii="宋体" w:hAnsi="宋体"/>
          <w:sz w:val="24"/>
          <w:szCs w:val="24"/>
        </w:rPr>
      </w:pPr>
    </w:p>
    <w:p w14:paraId="3FE3B3B3">
      <w:pPr>
        <w:spacing w:line="480" w:lineRule="auto"/>
        <w:rPr>
          <w:rFonts w:hint="eastAsia" w:ascii="宋体" w:hAnsi="宋体"/>
          <w:sz w:val="22"/>
          <w:szCs w:val="24"/>
        </w:rPr>
      </w:pPr>
      <w:r>
        <w:rPr>
          <w:rFonts w:ascii="宋体" w:hAnsi="宋体"/>
          <w:sz w:val="22"/>
          <w:szCs w:val="24"/>
        </w:rPr>
        <w:t>发包人(公章)：</w:t>
      </w:r>
      <w:r>
        <w:rPr>
          <w:rFonts w:ascii="宋体" w:hAnsi="宋体"/>
          <w:sz w:val="22"/>
          <w:szCs w:val="24"/>
          <w:u w:val="single"/>
        </w:rPr>
        <w:t xml:space="preserve"> </w:t>
      </w:r>
      <w:r>
        <w:rPr>
          <w:rFonts w:hint="eastAsia" w:ascii="宋体" w:hAnsi="宋体" w:cs="宋体"/>
          <w:sz w:val="22"/>
          <w:szCs w:val="24"/>
          <w:u w:val="single"/>
        </w:rPr>
        <w:t xml:space="preserve">       </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承包人(公章)：</w:t>
      </w:r>
      <w:r>
        <w:rPr>
          <w:rFonts w:hint="eastAsia" w:ascii="宋体" w:hAnsi="宋体" w:cs="宋体"/>
          <w:sz w:val="22"/>
          <w:szCs w:val="24"/>
          <w:u w:val="single"/>
        </w:rPr>
        <w:t></w:t>
      </w:r>
      <w:r>
        <w:rPr>
          <w:rFonts w:hint="eastAsia" w:ascii="宋体" w:hAnsi="宋体"/>
          <w:sz w:val="22"/>
          <w:szCs w:val="24"/>
          <w:u w:val="single"/>
        </w:rPr>
        <w:t xml:space="preserve">          </w:t>
      </w:r>
      <w:r>
        <w:rPr>
          <w:rFonts w:hint="eastAsia" w:ascii="宋体" w:hAnsi="宋体" w:cs="宋体"/>
          <w:sz w:val="22"/>
          <w:szCs w:val="24"/>
          <w:u w:val="single"/>
        </w:rPr>
        <w:t xml:space="preserve">              </w:t>
      </w:r>
    </w:p>
    <w:p w14:paraId="76A00DC3">
      <w:pPr>
        <w:spacing w:line="480" w:lineRule="auto"/>
        <w:rPr>
          <w:rFonts w:hint="eastAsia" w:ascii="宋体" w:hAnsi="宋体"/>
          <w:sz w:val="22"/>
          <w:szCs w:val="24"/>
        </w:rPr>
      </w:pPr>
      <w:r>
        <w:rPr>
          <w:rFonts w:ascii="宋体" w:hAnsi="宋体"/>
          <w:sz w:val="22"/>
          <w:szCs w:val="24"/>
        </w:rPr>
        <w:t>地  址：</w:t>
      </w:r>
      <w:r>
        <w:rPr>
          <w:rFonts w:ascii="宋体" w:hAnsi="宋体"/>
          <w:sz w:val="22"/>
          <w:szCs w:val="24"/>
          <w:u w:val="single"/>
        </w:rPr>
        <w:t xml:space="preserve"> </w:t>
      </w:r>
      <w:r>
        <w:rPr>
          <w:rFonts w:hint="eastAsia" w:ascii="宋体" w:hAnsi="宋体" w:cs="宋体"/>
          <w:sz w:val="22"/>
          <w:szCs w:val="24"/>
          <w:u w:val="single"/>
        </w:rPr>
        <w:t xml:space="preserve">                            </w:t>
      </w:r>
      <w:r>
        <w:rPr>
          <w:rFonts w:hint="eastAsia" w:ascii="宋体" w:hAnsi="宋体"/>
          <w:sz w:val="22"/>
          <w:szCs w:val="24"/>
        </w:rPr>
        <w:t xml:space="preserve">        </w:t>
      </w:r>
      <w:r>
        <w:rPr>
          <w:rFonts w:ascii="宋体" w:hAnsi="宋体"/>
          <w:sz w:val="22"/>
          <w:szCs w:val="24"/>
        </w:rPr>
        <w:t>地  址：</w:t>
      </w:r>
      <w:r>
        <w:rPr>
          <w:rFonts w:hint="eastAsia" w:ascii="宋体" w:hAnsi="宋体"/>
          <w:sz w:val="22"/>
          <w:szCs w:val="24"/>
        </w:rPr>
        <w:t xml:space="preserve"> </w:t>
      </w:r>
      <w:r>
        <w:rPr>
          <w:rFonts w:hint="eastAsia" w:ascii="宋体" w:hAnsi="宋体"/>
          <w:sz w:val="22"/>
          <w:szCs w:val="24"/>
          <w:u w:val="single"/>
        </w:rPr>
        <w:t xml:space="preserve">              </w:t>
      </w:r>
      <w:r>
        <w:rPr>
          <w:rFonts w:hint="eastAsia" w:ascii="宋体" w:hAnsi="宋体" w:cs="宋体"/>
          <w:sz w:val="22"/>
          <w:szCs w:val="24"/>
          <w:u w:val="single"/>
        </w:rPr>
        <w:t xml:space="preserve">             </w:t>
      </w:r>
      <w:r>
        <w:rPr>
          <w:rFonts w:ascii="宋体" w:hAnsi="宋体"/>
          <w:sz w:val="22"/>
          <w:szCs w:val="24"/>
          <w:u w:val="single"/>
        </w:rPr>
        <w:t xml:space="preserve">    </w:t>
      </w:r>
    </w:p>
    <w:p w14:paraId="2F50CE63">
      <w:pPr>
        <w:spacing w:line="480" w:lineRule="auto"/>
        <w:rPr>
          <w:rFonts w:hint="eastAsia" w:ascii="宋体" w:hAnsi="宋体"/>
          <w:sz w:val="22"/>
          <w:szCs w:val="24"/>
        </w:rPr>
      </w:pPr>
      <w:r>
        <w:rPr>
          <w:rFonts w:ascii="宋体" w:hAnsi="宋体"/>
          <w:sz w:val="22"/>
          <w:szCs w:val="24"/>
        </w:rPr>
        <w:t>法定代表人(</w:t>
      </w:r>
      <w:r>
        <w:rPr>
          <w:rFonts w:hint="eastAsia" w:ascii="宋体" w:hAnsi="宋体"/>
          <w:sz w:val="22"/>
          <w:szCs w:val="24"/>
        </w:rPr>
        <w:t>签字或盖章</w:t>
      </w:r>
      <w:r>
        <w:rPr>
          <w:rFonts w:ascii="宋体" w:hAnsi="宋体"/>
          <w:sz w:val="22"/>
          <w:szCs w:val="24"/>
        </w:rPr>
        <w:t>)：</w:t>
      </w:r>
      <w:r>
        <w:rPr>
          <w:rFonts w:hint="eastAsia" w:ascii="宋体" w:hAnsi="宋体" w:cs="宋体"/>
          <w:sz w:val="22"/>
          <w:szCs w:val="24"/>
          <w:u w:val="single"/>
        </w:rPr>
        <w:t></w:t>
      </w:r>
      <w:r>
        <w:rPr>
          <w:rFonts w:hint="eastAsia" w:ascii="宋体" w:hAnsi="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法定代表人(</w:t>
      </w:r>
      <w:r>
        <w:rPr>
          <w:rFonts w:hint="eastAsia" w:ascii="宋体" w:hAnsi="宋体"/>
          <w:sz w:val="22"/>
          <w:szCs w:val="24"/>
        </w:rPr>
        <w:t>签字或盖章</w:t>
      </w:r>
      <w:r>
        <w:rPr>
          <w:rFonts w:ascii="宋体" w:hAnsi="宋体"/>
          <w:sz w:val="22"/>
          <w:szCs w:val="24"/>
        </w:rPr>
        <w:t>)：</w:t>
      </w:r>
      <w:r>
        <w:rPr>
          <w:rFonts w:hint="eastAsia" w:ascii="宋体" w:hAnsi="宋体" w:cs="宋体"/>
          <w:sz w:val="22"/>
          <w:szCs w:val="24"/>
          <w:u w:val="single"/>
        </w:rPr>
        <w:t></w:t>
      </w:r>
      <w:r>
        <w:rPr>
          <w:rFonts w:hint="eastAsia" w:ascii="宋体" w:hAnsi="宋体"/>
          <w:sz w:val="22"/>
          <w:szCs w:val="24"/>
          <w:u w:val="single"/>
        </w:rPr>
        <w:t xml:space="preserve">        </w:t>
      </w:r>
      <w:r>
        <w:rPr>
          <w:rFonts w:hint="eastAsia" w:ascii="宋体" w:hAnsi="宋体" w:cs="宋体"/>
          <w:sz w:val="22"/>
          <w:szCs w:val="24"/>
          <w:u w:val="single"/>
        </w:rPr>
        <w:t></w:t>
      </w:r>
      <w:r>
        <w:rPr>
          <w:rFonts w:hint="eastAsia" w:ascii="宋体" w:hAnsi="宋体"/>
          <w:sz w:val="22"/>
          <w:szCs w:val="24"/>
          <w:u w:val="single"/>
        </w:rPr>
        <w:t xml:space="preserve">      </w:t>
      </w:r>
    </w:p>
    <w:p w14:paraId="1A2EFC4E">
      <w:pPr>
        <w:spacing w:line="480" w:lineRule="auto"/>
        <w:rPr>
          <w:rFonts w:hint="eastAsia" w:ascii="宋体" w:hAnsi="宋体"/>
          <w:sz w:val="22"/>
          <w:szCs w:val="24"/>
        </w:rPr>
      </w:pPr>
      <w:r>
        <w:rPr>
          <w:rFonts w:ascii="宋体" w:hAnsi="宋体"/>
          <w:sz w:val="22"/>
          <w:szCs w:val="24"/>
        </w:rPr>
        <w:t>委托代理人(签字)：</w:t>
      </w:r>
      <w:r>
        <w:rPr>
          <w:rFonts w:hint="eastAsia" w:ascii="宋体" w:hAnsi="宋体" w:cs="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委托代理人(签字)：</w:t>
      </w:r>
      <w:r>
        <w:rPr>
          <w:rFonts w:hint="eastAsia" w:ascii="宋体" w:hAnsi="宋体" w:cs="宋体"/>
          <w:sz w:val="22"/>
          <w:szCs w:val="24"/>
          <w:u w:val="single"/>
        </w:rPr>
        <w:t></w:t>
      </w:r>
      <w:r>
        <w:rPr>
          <w:rFonts w:hint="eastAsia" w:ascii="宋体" w:hAnsi="宋体"/>
          <w:sz w:val="22"/>
          <w:szCs w:val="24"/>
          <w:u w:val="single"/>
        </w:rPr>
        <w:t xml:space="preserve">        </w:t>
      </w:r>
      <w:r>
        <w:rPr>
          <w:rFonts w:hint="eastAsia" w:ascii="宋体" w:hAnsi="宋体" w:cs="宋体"/>
          <w:sz w:val="22"/>
          <w:szCs w:val="24"/>
          <w:u w:val="single"/>
        </w:rPr>
        <w:t></w:t>
      </w:r>
      <w:r>
        <w:rPr>
          <w:rFonts w:hint="eastAsia" w:ascii="宋体" w:hAnsi="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r>
        <w:rPr>
          <w:rFonts w:ascii="宋体" w:hAnsi="宋体"/>
          <w:sz w:val="22"/>
          <w:szCs w:val="24"/>
          <w:u w:val="single"/>
        </w:rPr>
        <w:t xml:space="preserve"> </w:t>
      </w:r>
    </w:p>
    <w:p w14:paraId="4D8E68EF">
      <w:pPr>
        <w:spacing w:line="480" w:lineRule="auto"/>
        <w:rPr>
          <w:rFonts w:hint="eastAsia" w:ascii="宋体" w:hAnsi="宋体"/>
          <w:sz w:val="22"/>
          <w:szCs w:val="24"/>
        </w:rPr>
      </w:pPr>
      <w:r>
        <w:rPr>
          <w:rFonts w:ascii="宋体" w:hAnsi="宋体"/>
          <w:sz w:val="22"/>
          <w:szCs w:val="24"/>
        </w:rPr>
        <w:t>电  话：</w:t>
      </w:r>
      <w:r>
        <w:rPr>
          <w:rFonts w:hint="eastAsia" w:ascii="宋体" w:hAnsi="宋体" w:cs="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电  话：</w:t>
      </w:r>
      <w:r>
        <w:rPr>
          <w:rFonts w:hint="eastAsia" w:ascii="宋体" w:hAnsi="宋体" w:cs="宋体"/>
          <w:sz w:val="22"/>
          <w:szCs w:val="24"/>
          <w:u w:val="single"/>
        </w:rPr>
        <w:t>           </w:t>
      </w:r>
      <w:r>
        <w:rPr>
          <w:rFonts w:hint="eastAsia" w:ascii="宋体" w:hAnsi="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r>
        <w:rPr>
          <w:rFonts w:ascii="宋体" w:hAnsi="宋体"/>
          <w:sz w:val="22"/>
          <w:szCs w:val="24"/>
          <w:u w:val="single"/>
        </w:rPr>
        <w:t xml:space="preserve">  </w:t>
      </w:r>
    </w:p>
    <w:p w14:paraId="7546CBAB">
      <w:pPr>
        <w:spacing w:line="480" w:lineRule="auto"/>
        <w:rPr>
          <w:rFonts w:hint="eastAsia" w:ascii="宋体" w:hAnsi="宋体"/>
          <w:sz w:val="22"/>
          <w:szCs w:val="24"/>
        </w:rPr>
      </w:pPr>
      <w:r>
        <w:rPr>
          <w:rFonts w:ascii="宋体" w:hAnsi="宋体"/>
          <w:sz w:val="22"/>
          <w:szCs w:val="24"/>
        </w:rPr>
        <w:t>传  真：</w:t>
      </w:r>
      <w:r>
        <w:rPr>
          <w:rFonts w:hint="eastAsia" w:ascii="宋体" w:hAnsi="宋体" w:cs="宋体"/>
          <w:sz w:val="22"/>
          <w:szCs w:val="24"/>
          <w:u w:val="single"/>
        </w:rPr>
        <w:t xml:space="preserve">    </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传  真：</w:t>
      </w:r>
      <w:r>
        <w:rPr>
          <w:rFonts w:hint="eastAsia" w:ascii="宋体" w:hAnsi="宋体" w:cs="宋体"/>
          <w:sz w:val="22"/>
          <w:szCs w:val="24"/>
          <w:u w:val="single"/>
        </w:rPr>
        <w:t> </w:t>
      </w:r>
      <w:r>
        <w:rPr>
          <w:rFonts w:hint="eastAsia" w:ascii="宋体" w:hAnsi="宋体"/>
          <w:sz w:val="22"/>
          <w:szCs w:val="24"/>
          <w:u w:val="single"/>
        </w:rPr>
        <w:t xml:space="preserve">   </w:t>
      </w:r>
      <w:r>
        <w:rPr>
          <w:rFonts w:hint="eastAsia" w:ascii="宋体" w:hAnsi="宋体" w:cs="宋体"/>
          <w:sz w:val="22"/>
          <w:szCs w:val="24"/>
          <w:u w:val="single"/>
        </w:rPr>
        <w:t xml:space="preserve">                    </w:t>
      </w:r>
    </w:p>
    <w:p w14:paraId="319E0A9B">
      <w:pPr>
        <w:spacing w:line="480" w:lineRule="auto"/>
        <w:rPr>
          <w:rFonts w:hint="eastAsia" w:ascii="宋体" w:hAnsi="宋体"/>
          <w:sz w:val="22"/>
          <w:szCs w:val="24"/>
        </w:rPr>
      </w:pPr>
      <w:r>
        <w:rPr>
          <w:rFonts w:ascii="宋体" w:hAnsi="宋体"/>
          <w:sz w:val="22"/>
          <w:szCs w:val="24"/>
        </w:rPr>
        <w:t>开户银行：</w:t>
      </w:r>
      <w:r>
        <w:rPr>
          <w:rFonts w:hint="eastAsia" w:ascii="宋体" w:hAnsi="宋体" w:cs="宋体"/>
          <w:sz w:val="22"/>
          <w:szCs w:val="24"/>
          <w:u w:val="single"/>
        </w:rPr>
        <w:t xml:space="preserve">    </w:t>
      </w:r>
      <w:r>
        <w:rPr>
          <w:rFonts w:ascii="宋体" w:hAnsi="宋体"/>
          <w:sz w:val="22"/>
          <w:szCs w:val="24"/>
          <w:u w:val="single"/>
        </w:rPr>
        <w:t xml:space="preserve">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开户银行：</w:t>
      </w:r>
      <w:r>
        <w:rPr>
          <w:rFonts w:hint="eastAsia" w:ascii="宋体" w:hAnsi="宋体" w:cs="宋体"/>
          <w:sz w:val="22"/>
          <w:szCs w:val="24"/>
          <w:u w:val="single"/>
        </w:rPr>
        <w:t></w:t>
      </w:r>
      <w:r>
        <w:rPr>
          <w:rFonts w:hint="eastAsia" w:ascii="宋体" w:hAnsi="宋体"/>
          <w:sz w:val="22"/>
          <w:szCs w:val="24"/>
          <w:u w:val="single"/>
        </w:rPr>
        <w:t xml:space="preserve"> </w:t>
      </w:r>
      <w:r>
        <w:rPr>
          <w:rFonts w:hint="eastAsia" w:ascii="宋体" w:hAnsi="宋体" w:cs="宋体"/>
          <w:sz w:val="22"/>
          <w:szCs w:val="24"/>
          <w:u w:val="single"/>
        </w:rPr>
        <w:t xml:space="preserve">               </w:t>
      </w:r>
    </w:p>
    <w:p w14:paraId="47ABB081">
      <w:pPr>
        <w:spacing w:line="480" w:lineRule="auto"/>
        <w:rPr>
          <w:rFonts w:hint="eastAsia" w:ascii="宋体" w:hAnsi="宋体"/>
          <w:sz w:val="22"/>
          <w:szCs w:val="24"/>
        </w:rPr>
      </w:pPr>
      <w:r>
        <w:rPr>
          <w:rFonts w:ascii="宋体" w:hAnsi="宋体"/>
          <w:sz w:val="22"/>
          <w:szCs w:val="24"/>
        </w:rPr>
        <w:t>账  号：</w:t>
      </w:r>
      <w:r>
        <w:rPr>
          <w:rFonts w:hint="eastAsia" w:ascii="宋体" w:hAnsi="宋体" w:cs="宋体"/>
          <w:sz w:val="22"/>
          <w:szCs w:val="24"/>
          <w:u w:val="single"/>
        </w:rPr>
        <w:t></w:t>
      </w:r>
      <w:r>
        <w:rPr>
          <w:rFonts w:hint="eastAsia" w:ascii="宋体" w:hAnsi="宋体"/>
          <w:sz w:val="22"/>
          <w:szCs w:val="24"/>
          <w:u w:val="single"/>
        </w:rPr>
        <w:t xml:space="preserve"> </w:t>
      </w:r>
      <w:r>
        <w:rPr>
          <w:rFonts w:hint="eastAsia" w:ascii="宋体" w:hAnsi="宋体" w:cs="宋体"/>
          <w:sz w:val="22"/>
          <w:szCs w:val="24"/>
          <w:u w:val="single"/>
        </w:rPr>
        <w:t xml:space="preserve"> 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账</w:t>
      </w:r>
      <w:r>
        <w:rPr>
          <w:rFonts w:hint="eastAsia" w:ascii="宋体" w:hAnsi="宋体"/>
          <w:sz w:val="22"/>
          <w:szCs w:val="24"/>
        </w:rPr>
        <w:t xml:space="preserve"> </w:t>
      </w:r>
      <w:r>
        <w:rPr>
          <w:rFonts w:ascii="宋体" w:hAnsi="宋体"/>
          <w:sz w:val="22"/>
          <w:szCs w:val="24"/>
        </w:rPr>
        <w:t xml:space="preserve"> 号：</w:t>
      </w:r>
      <w:r>
        <w:rPr>
          <w:rFonts w:hint="eastAsia" w:ascii="宋体" w:hAnsi="宋体" w:cs="宋体"/>
          <w:sz w:val="22"/>
          <w:szCs w:val="24"/>
          <w:u w:val="single"/>
        </w:rPr>
        <w:t></w:t>
      </w:r>
      <w:r>
        <w:rPr>
          <w:rFonts w:hint="eastAsia" w:ascii="宋体" w:hAnsi="宋体"/>
          <w:sz w:val="22"/>
          <w:szCs w:val="24"/>
          <w:u w:val="single"/>
        </w:rPr>
        <w:t xml:space="preserve">   </w:t>
      </w:r>
      <w:r>
        <w:rPr>
          <w:rFonts w:hint="eastAsia" w:ascii="宋体" w:hAnsi="宋体" w:cs="宋体"/>
          <w:sz w:val="22"/>
          <w:szCs w:val="24"/>
          <w:u w:val="single"/>
        </w:rPr>
        <w:t>          </w:t>
      </w:r>
      <w:r>
        <w:rPr>
          <w:rFonts w:hint="eastAsia" w:ascii="宋体" w:hAnsi="宋体"/>
          <w:sz w:val="22"/>
          <w:szCs w:val="24"/>
          <w:u w:val="single"/>
        </w:rPr>
        <w:t xml:space="preserve">  </w:t>
      </w:r>
      <w:r>
        <w:rPr>
          <w:rFonts w:ascii="宋体" w:hAnsi="宋体"/>
          <w:sz w:val="22"/>
          <w:szCs w:val="24"/>
          <w:u w:val="single"/>
        </w:rPr>
        <w:t xml:space="preserve">  </w:t>
      </w:r>
      <w:r>
        <w:rPr>
          <w:rFonts w:hint="eastAsia" w:ascii="宋体" w:hAnsi="宋体"/>
          <w:sz w:val="22"/>
          <w:szCs w:val="24"/>
          <w:u w:val="single"/>
        </w:rPr>
        <w:t xml:space="preserve"> </w:t>
      </w:r>
    </w:p>
    <w:p w14:paraId="57B5C6B5">
      <w:pPr>
        <w:adjustRightInd w:val="0"/>
        <w:snapToGrid w:val="0"/>
        <w:spacing w:before="120" w:after="60" w:line="300" w:lineRule="auto"/>
        <w:rPr>
          <w:rFonts w:hint="eastAsia" w:cs="楷体_GB2312" w:asciiTheme="minorEastAsia" w:hAnsiTheme="minorEastAsia" w:eastAsiaTheme="minorEastAsia"/>
          <w:b/>
          <w:bCs/>
          <w:snapToGrid w:val="0"/>
          <w:sz w:val="22"/>
          <w:szCs w:val="24"/>
        </w:rPr>
      </w:pPr>
      <w:r>
        <w:rPr>
          <w:rFonts w:ascii="宋体" w:hAnsi="宋体"/>
          <w:sz w:val="22"/>
          <w:szCs w:val="24"/>
        </w:rPr>
        <w:t>邮政编码：</w:t>
      </w:r>
      <w:r>
        <w:rPr>
          <w:rFonts w:ascii="宋体" w:hAnsi="宋体"/>
          <w:sz w:val="22"/>
          <w:szCs w:val="24"/>
          <w:u w:val="single"/>
        </w:rPr>
        <w:t xml:space="preserve"> </w:t>
      </w:r>
      <w:r>
        <w:rPr>
          <w:rFonts w:hint="eastAsia" w:ascii="宋体" w:hAnsi="宋体" w:cs="宋体"/>
          <w:sz w:val="22"/>
          <w:szCs w:val="24"/>
          <w:u w:val="single"/>
        </w:rPr>
        <w:t xml:space="preserve">  </w:t>
      </w:r>
      <w:r>
        <w:rPr>
          <w:rFonts w:hint="eastAsia" w:ascii="宋体" w:hAnsi="宋体"/>
          <w:sz w:val="22"/>
          <w:szCs w:val="24"/>
          <w:u w:val="single"/>
        </w:rPr>
        <w:t xml:space="preserve">              </w:t>
      </w:r>
      <w:r>
        <w:rPr>
          <w:rFonts w:hint="eastAsia" w:ascii="宋体" w:hAnsi="宋体"/>
          <w:sz w:val="22"/>
          <w:szCs w:val="24"/>
        </w:rPr>
        <w:t xml:space="preserve">        </w:t>
      </w:r>
      <w:r>
        <w:rPr>
          <w:rFonts w:ascii="宋体" w:hAnsi="宋体"/>
          <w:sz w:val="22"/>
          <w:szCs w:val="24"/>
        </w:rPr>
        <w:t>邮政编码：</w:t>
      </w:r>
      <w:r>
        <w:rPr>
          <w:rFonts w:hint="eastAsia" w:ascii="宋体" w:hAnsi="宋体" w:cs="宋体"/>
          <w:sz w:val="22"/>
          <w:szCs w:val="24"/>
          <w:u w:val="single"/>
        </w:rPr>
        <w:t xml:space="preserve">                </w:t>
      </w:r>
      <w:r>
        <w:rPr>
          <w:rFonts w:hint="eastAsia" w:ascii="宋体" w:hAnsi="宋体"/>
          <w:sz w:val="22"/>
          <w:szCs w:val="24"/>
          <w:u w:val="single"/>
        </w:rPr>
        <w:t xml:space="preserve"> </w:t>
      </w:r>
      <w:r>
        <w:rPr>
          <w:rFonts w:hint="eastAsia" w:ascii="宋体" w:hAnsi="宋体" w:cs="宋体"/>
          <w:sz w:val="22"/>
          <w:szCs w:val="24"/>
          <w:u w:val="single"/>
        </w:rPr>
        <w:t xml:space="preserve">   </w:t>
      </w:r>
    </w:p>
    <w:p w14:paraId="7C95B5B7">
      <w:pPr>
        <w:spacing w:line="360" w:lineRule="auto"/>
        <w:jc w:val="center"/>
        <w:rPr>
          <w:rFonts w:hint="eastAsia" w:cs="楷体_GB2312" w:asciiTheme="minorEastAsia" w:hAnsiTheme="minorEastAsia" w:eastAsiaTheme="minorEastAsia"/>
          <w:b/>
          <w:bCs/>
          <w:snapToGrid w:val="0"/>
          <w:sz w:val="32"/>
          <w:szCs w:val="32"/>
        </w:rPr>
      </w:pPr>
    </w:p>
    <w:p w14:paraId="746204E4">
      <w:pPr>
        <w:spacing w:before="120" w:beforeLines="50" w:after="120" w:afterLines="50" w:line="440" w:lineRule="exact"/>
        <w:jc w:val="center"/>
        <w:rPr>
          <w:rFonts w:hint="eastAsia" w:cs="楷体_GB2312" w:asciiTheme="minorEastAsia" w:hAnsiTheme="minorEastAsia" w:eastAsiaTheme="minorEastAsia"/>
          <w:b/>
          <w:bCs/>
          <w:snapToGrid w:val="0"/>
          <w:sz w:val="32"/>
          <w:szCs w:val="32"/>
        </w:rPr>
      </w:pPr>
      <w:r>
        <w:rPr>
          <w:rFonts w:ascii="宋体" w:hAnsi="宋体" w:eastAsiaTheme="minorEastAsia" w:cstheme="minorBidi"/>
          <w:bCs/>
          <w:kern w:val="0"/>
          <w:sz w:val="24"/>
          <w:szCs w:val="24"/>
        </w:rPr>
        <w:br w:type="page"/>
      </w:r>
      <w:bookmarkEnd w:id="9"/>
      <w:bookmarkEnd w:id="10"/>
      <w:bookmarkEnd w:id="14"/>
      <w:r>
        <w:rPr>
          <w:rFonts w:hint="eastAsia" w:cs="楷体_GB2312" w:asciiTheme="minorEastAsia" w:hAnsiTheme="minorEastAsia" w:eastAsiaTheme="minorEastAsia"/>
          <w:b/>
          <w:bCs/>
          <w:snapToGrid w:val="0"/>
          <w:sz w:val="32"/>
          <w:szCs w:val="32"/>
        </w:rPr>
        <w:t>第三章  投标文件(格式)</w:t>
      </w:r>
    </w:p>
    <w:p w14:paraId="15C2FA65">
      <w:pPr>
        <w:pStyle w:val="24"/>
        <w:spacing w:line="360" w:lineRule="auto"/>
        <w:rPr>
          <w:rFonts w:hint="eastAsia" w:asciiTheme="minorEastAsia" w:hAnsiTheme="minorEastAsia" w:eastAsiaTheme="minorEastAsia"/>
          <w:sz w:val="24"/>
          <w:szCs w:val="24"/>
        </w:rPr>
      </w:pPr>
    </w:p>
    <w:p w14:paraId="2EA6E7ED">
      <w:pPr>
        <w:ind w:left="1821" w:leftChars="867"/>
        <w:jc w:val="left"/>
        <w:rPr>
          <w:rFonts w:hint="eastAsia" w:cs="楷体_GB2312" w:asciiTheme="minorEastAsia" w:hAnsiTheme="minorEastAsia" w:eastAsiaTheme="minorEastAsia"/>
          <w:b/>
          <w:bCs/>
          <w:sz w:val="52"/>
          <w:szCs w:val="52"/>
        </w:rPr>
      </w:pPr>
      <w:r>
        <w:rPr>
          <w:rFonts w:hint="eastAsia" w:cs="楷体_GB2312" w:asciiTheme="minorEastAsia" w:hAnsiTheme="minorEastAsia" w:eastAsiaTheme="minorEastAsia"/>
          <w:b/>
          <w:bCs/>
          <w:sz w:val="52"/>
          <w:szCs w:val="52"/>
          <w:u w:val="single"/>
        </w:rPr>
        <w:t xml:space="preserve">     （工程名称）     </w:t>
      </w:r>
      <w:r>
        <w:rPr>
          <w:rFonts w:hint="eastAsia" w:cs="楷体_GB2312" w:asciiTheme="minorEastAsia" w:hAnsiTheme="minorEastAsia" w:eastAsiaTheme="minorEastAsia"/>
          <w:b/>
          <w:bCs/>
          <w:sz w:val="52"/>
          <w:szCs w:val="52"/>
        </w:rPr>
        <w:t xml:space="preserve"> </w:t>
      </w:r>
    </w:p>
    <w:p w14:paraId="30F813BA">
      <w:pPr>
        <w:ind w:left="1821" w:leftChars="867" w:firstLine="2610" w:firstLineChars="500"/>
        <w:rPr>
          <w:rFonts w:hint="eastAsia" w:asciiTheme="minorEastAsia" w:hAnsiTheme="minorEastAsia" w:eastAsiaTheme="minorEastAsia"/>
          <w:b/>
          <w:bCs/>
          <w:sz w:val="52"/>
          <w:szCs w:val="52"/>
        </w:rPr>
      </w:pPr>
    </w:p>
    <w:p w14:paraId="2389272D">
      <w:pPr>
        <w:ind w:left="315"/>
        <w:jc w:val="center"/>
        <w:rPr>
          <w:rFonts w:hint="eastAsia" w:cs="楷体_GB2312" w:asciiTheme="minorEastAsia" w:hAnsiTheme="minorEastAsia" w:eastAsiaTheme="minorEastAsia"/>
          <w:sz w:val="100"/>
          <w:szCs w:val="100"/>
        </w:rPr>
      </w:pPr>
      <w:r>
        <w:rPr>
          <w:rFonts w:hint="eastAsia" w:cs="楷体_GB2312" w:asciiTheme="minorEastAsia" w:hAnsiTheme="minorEastAsia" w:eastAsiaTheme="minorEastAsia"/>
          <w:sz w:val="100"/>
          <w:szCs w:val="100"/>
        </w:rPr>
        <w:t>施工投标文件</w:t>
      </w:r>
    </w:p>
    <w:p w14:paraId="28EA8CE9">
      <w:pPr>
        <w:ind w:left="315"/>
        <w:jc w:val="center"/>
        <w:rPr>
          <w:rFonts w:hint="eastAsia" w:asciiTheme="minorEastAsia" w:hAnsiTheme="minorEastAsia" w:eastAsiaTheme="minorEastAsia"/>
          <w:sz w:val="100"/>
          <w:szCs w:val="100"/>
        </w:rPr>
      </w:pPr>
    </w:p>
    <w:p w14:paraId="64557224">
      <w:pPr>
        <w:ind w:left="315"/>
        <w:jc w:val="center"/>
        <w:rPr>
          <w:rFonts w:hint="eastAsia" w:cs="楷体_GB2312" w:asciiTheme="minorEastAsia" w:hAnsiTheme="minorEastAsia" w:eastAsiaTheme="minorEastAsia"/>
          <w:sz w:val="36"/>
          <w:szCs w:val="36"/>
        </w:rPr>
      </w:pPr>
      <w:r>
        <w:rPr>
          <w:rFonts w:hint="eastAsia" w:cs="楷体_GB2312" w:asciiTheme="minorEastAsia" w:hAnsiTheme="minorEastAsia" w:eastAsiaTheme="minorEastAsia"/>
          <w:sz w:val="36"/>
          <w:szCs w:val="36"/>
        </w:rPr>
        <w:t>（商务文件）</w:t>
      </w:r>
    </w:p>
    <w:p w14:paraId="4462B71B">
      <w:pPr>
        <w:rPr>
          <w:rFonts w:hint="eastAsia" w:asciiTheme="minorEastAsia" w:hAnsiTheme="minorEastAsia" w:eastAsiaTheme="minorEastAsia"/>
          <w:sz w:val="28"/>
          <w:szCs w:val="28"/>
        </w:rPr>
      </w:pPr>
    </w:p>
    <w:p w14:paraId="44CB1CC5">
      <w:pPr>
        <w:rPr>
          <w:rFonts w:hint="eastAsia" w:asciiTheme="minorEastAsia" w:hAnsiTheme="minorEastAsia" w:eastAsiaTheme="minorEastAsia"/>
          <w:sz w:val="28"/>
          <w:szCs w:val="28"/>
        </w:rPr>
      </w:pPr>
    </w:p>
    <w:p w14:paraId="5A9D3A25">
      <w:pPr>
        <w:rPr>
          <w:rFonts w:hint="eastAsia" w:asciiTheme="minorEastAsia" w:hAnsiTheme="minorEastAsia" w:eastAsiaTheme="minorEastAsia"/>
          <w:sz w:val="28"/>
          <w:szCs w:val="28"/>
        </w:rPr>
      </w:pPr>
    </w:p>
    <w:p w14:paraId="5BB5ED65">
      <w:pPr>
        <w:rPr>
          <w:rFonts w:hint="eastAsia" w:asciiTheme="minorEastAsia" w:hAnsiTheme="minorEastAsia" w:eastAsiaTheme="minorEastAsia"/>
          <w:sz w:val="28"/>
          <w:szCs w:val="28"/>
        </w:rPr>
      </w:pPr>
    </w:p>
    <w:p w14:paraId="63F298F9">
      <w:pPr>
        <w:rPr>
          <w:rFonts w:hint="eastAsia" w:asciiTheme="minorEastAsia" w:hAnsiTheme="minorEastAsia" w:eastAsiaTheme="minorEastAsia"/>
          <w:sz w:val="28"/>
          <w:szCs w:val="28"/>
        </w:rPr>
      </w:pPr>
    </w:p>
    <w:p w14:paraId="0019B3F9">
      <w:pPr>
        <w:rPr>
          <w:rFonts w:hint="eastAsia" w:asciiTheme="minorEastAsia" w:hAnsiTheme="minorEastAsia" w:eastAsiaTheme="minorEastAsia"/>
          <w:sz w:val="28"/>
          <w:szCs w:val="28"/>
        </w:rPr>
      </w:pPr>
    </w:p>
    <w:p w14:paraId="66463433">
      <w:pPr>
        <w:rPr>
          <w:rFonts w:hint="eastAsia" w:asciiTheme="minorEastAsia" w:hAnsiTheme="minorEastAsia" w:eastAsiaTheme="minorEastAsia"/>
          <w:sz w:val="28"/>
          <w:szCs w:val="28"/>
        </w:rPr>
      </w:pPr>
    </w:p>
    <w:p w14:paraId="15A4C9D2">
      <w:pPr>
        <w:rPr>
          <w:rFonts w:hint="eastAsia" w:asciiTheme="minorEastAsia" w:hAnsiTheme="minorEastAsia" w:eastAsiaTheme="minorEastAsia"/>
          <w:sz w:val="28"/>
          <w:szCs w:val="28"/>
        </w:rPr>
      </w:pPr>
    </w:p>
    <w:p w14:paraId="0772AB8C">
      <w:pPr>
        <w:rPr>
          <w:rFonts w:hint="eastAsia" w:asciiTheme="minorEastAsia" w:hAnsiTheme="minorEastAsia" w:eastAsiaTheme="minorEastAsia"/>
          <w:sz w:val="28"/>
          <w:szCs w:val="28"/>
        </w:rPr>
      </w:pPr>
    </w:p>
    <w:p w14:paraId="57CD49FF">
      <w:pPr>
        <w:rPr>
          <w:rFonts w:hint="eastAsia" w:asciiTheme="minorEastAsia" w:hAnsiTheme="minorEastAsia" w:eastAsiaTheme="minorEastAsia"/>
          <w:sz w:val="28"/>
          <w:szCs w:val="28"/>
        </w:rPr>
      </w:pPr>
    </w:p>
    <w:p w14:paraId="5930C0C9">
      <w:pPr>
        <w:rPr>
          <w:rFonts w:hint="eastAsia" w:asciiTheme="minorEastAsia" w:hAnsiTheme="minorEastAsia" w:eastAsiaTheme="minorEastAsia"/>
          <w:sz w:val="28"/>
          <w:szCs w:val="28"/>
        </w:rPr>
      </w:pPr>
    </w:p>
    <w:p w14:paraId="7231FD4A">
      <w:pPr>
        <w:spacing w:line="360" w:lineRule="auto"/>
        <w:ind w:left="318" w:firstLine="601"/>
        <w:rPr>
          <w:rFonts w:hint="eastAsia" w:asciiTheme="minorEastAsia" w:hAnsiTheme="minorEastAsia" w:eastAsiaTheme="minorEastAsia"/>
          <w:sz w:val="30"/>
          <w:szCs w:val="30"/>
        </w:rPr>
      </w:pPr>
      <w:r>
        <w:rPr>
          <w:rFonts w:hint="eastAsia" w:cs="楷体_GB2312" w:asciiTheme="minorEastAsia" w:hAnsiTheme="minorEastAsia" w:eastAsiaTheme="minorEastAsia"/>
          <w:sz w:val="30"/>
          <w:szCs w:val="30"/>
        </w:rPr>
        <w:t>投标人：</w:t>
      </w:r>
      <w:r>
        <w:rPr>
          <w:rFonts w:hint="eastAsia" w:cs="楷体_GB2312" w:asciiTheme="minorEastAsia" w:hAnsiTheme="minorEastAsia" w:eastAsiaTheme="minorEastAsia"/>
          <w:sz w:val="30"/>
          <w:szCs w:val="30"/>
          <w:u w:val="single"/>
        </w:rPr>
        <w:t>（盖章）</w:t>
      </w:r>
    </w:p>
    <w:p w14:paraId="40375B1F">
      <w:pPr>
        <w:spacing w:line="360" w:lineRule="auto"/>
        <w:ind w:left="318" w:firstLine="601"/>
        <w:rPr>
          <w:rFonts w:hint="eastAsia" w:cs="楷体_GB2312" w:asciiTheme="minorEastAsia" w:hAnsiTheme="minorEastAsia" w:eastAsiaTheme="minorEastAsia"/>
          <w:sz w:val="30"/>
          <w:szCs w:val="30"/>
          <w:u w:val="single"/>
        </w:rPr>
      </w:pPr>
      <w:r>
        <w:rPr>
          <w:rFonts w:hint="eastAsia" w:cs="楷体_GB2312" w:asciiTheme="minorEastAsia" w:hAnsiTheme="minorEastAsia" w:eastAsiaTheme="minorEastAsia"/>
          <w:sz w:val="30"/>
          <w:szCs w:val="30"/>
        </w:rPr>
        <w:t>法定代表人或委托代理人：</w:t>
      </w:r>
      <w:r>
        <w:rPr>
          <w:rFonts w:hint="eastAsia" w:cs="楷体_GB2312" w:asciiTheme="minorEastAsia" w:hAnsiTheme="minorEastAsia" w:eastAsiaTheme="minorEastAsia"/>
          <w:sz w:val="30"/>
          <w:szCs w:val="30"/>
          <w:u w:val="single"/>
        </w:rPr>
        <w:t>（签字或盖章）</w:t>
      </w:r>
    </w:p>
    <w:p w14:paraId="305D17E3">
      <w:pPr>
        <w:pStyle w:val="24"/>
        <w:adjustRightInd w:val="0"/>
        <w:snapToGrid w:val="0"/>
        <w:ind w:firstLine="900" w:firstLineChars="300"/>
        <w:rPr>
          <w:rFonts w:hint="eastAsia" w:cs="Times New Roman" w:asciiTheme="minorEastAsia" w:hAnsiTheme="minorEastAsia" w:eastAsiaTheme="minorEastAsia"/>
          <w:sz w:val="24"/>
          <w:szCs w:val="24"/>
        </w:rPr>
      </w:pPr>
      <w:r>
        <w:rPr>
          <w:rFonts w:hint="eastAsia" w:cs="楷体_GB2312" w:asciiTheme="minorEastAsia" w:hAnsiTheme="minorEastAsia" w:eastAsiaTheme="minorEastAsia"/>
          <w:sz w:val="30"/>
          <w:szCs w:val="30"/>
        </w:rPr>
        <w:t>日期：     年    月   日</w:t>
      </w:r>
    </w:p>
    <w:p w14:paraId="13FCEF3A">
      <w:pPr>
        <w:pStyle w:val="24"/>
        <w:adjustRightInd w:val="0"/>
        <w:snapToGrid w:val="0"/>
        <w:jc w:val="center"/>
        <w:rPr>
          <w:rFonts w:hint="eastAsia" w:cs="Times New Roman" w:asciiTheme="minorEastAsia" w:hAnsiTheme="minorEastAsia" w:eastAsiaTheme="minorEastAsia"/>
          <w:sz w:val="32"/>
          <w:szCs w:val="32"/>
        </w:rPr>
      </w:pPr>
    </w:p>
    <w:p w14:paraId="38D0103F">
      <w:pPr>
        <w:pStyle w:val="24"/>
        <w:adjustRightInd w:val="0"/>
        <w:snapToGrid w:val="0"/>
        <w:jc w:val="center"/>
        <w:rPr>
          <w:rFonts w:hint="eastAsia" w:cs="Times New Roman" w:asciiTheme="minorEastAsia" w:hAnsiTheme="minorEastAsia" w:eastAsiaTheme="minorEastAsia"/>
          <w:sz w:val="32"/>
          <w:szCs w:val="32"/>
        </w:rPr>
      </w:pPr>
    </w:p>
    <w:p w14:paraId="540F5CB5">
      <w:pPr>
        <w:pStyle w:val="24"/>
        <w:adjustRightInd w:val="0"/>
        <w:snapToGrid w:val="0"/>
        <w:jc w:val="center"/>
        <w:rPr>
          <w:rFonts w:hint="eastAsia" w:cs="Times New Roman" w:asciiTheme="minorEastAsia" w:hAnsiTheme="minorEastAsia" w:eastAsiaTheme="minorEastAsia"/>
          <w:sz w:val="32"/>
          <w:szCs w:val="32"/>
        </w:rPr>
      </w:pPr>
    </w:p>
    <w:p w14:paraId="08A1D5BB">
      <w:pPr>
        <w:pStyle w:val="24"/>
        <w:adjustRightInd w:val="0"/>
        <w:snapToGrid w:val="0"/>
        <w:jc w:val="center"/>
        <w:rPr>
          <w:rFonts w:hint="eastAsia" w:cs="Times New Roman" w:asciiTheme="minorEastAsia" w:hAnsiTheme="minorEastAsia" w:eastAsiaTheme="minorEastAsia"/>
          <w:sz w:val="32"/>
          <w:szCs w:val="32"/>
        </w:rPr>
      </w:pPr>
    </w:p>
    <w:p w14:paraId="2CDE8120">
      <w:pPr>
        <w:pStyle w:val="24"/>
        <w:adjustRightInd w:val="0"/>
        <w:snapToGrid w:val="0"/>
        <w:jc w:val="center"/>
        <w:rPr>
          <w:rFonts w:hint="eastAsia" w:cs="Times New Roman" w:asciiTheme="minorEastAsia" w:hAnsiTheme="minorEastAsia" w:eastAsiaTheme="minorEastAsia"/>
          <w:sz w:val="32"/>
          <w:szCs w:val="32"/>
        </w:rPr>
      </w:pPr>
    </w:p>
    <w:p w14:paraId="766A404A">
      <w:pPr>
        <w:pStyle w:val="24"/>
        <w:adjustRightInd w:val="0"/>
        <w:snapToGrid w:val="0"/>
        <w:jc w:val="center"/>
        <w:rPr>
          <w:rFonts w:hint="eastAsia" w:cs="Times New Roman" w:asciiTheme="minorEastAsia" w:hAnsiTheme="minorEastAsia" w:eastAsiaTheme="minorEastAsia"/>
          <w:sz w:val="32"/>
          <w:szCs w:val="32"/>
        </w:rPr>
      </w:pPr>
    </w:p>
    <w:p w14:paraId="7AD87863">
      <w:pPr>
        <w:pStyle w:val="24"/>
        <w:adjustRightInd w:val="0"/>
        <w:snapToGrid w:val="0"/>
        <w:jc w:val="center"/>
        <w:rPr>
          <w:rFonts w:hint="eastAsia" w:cs="Times New Roman" w:asciiTheme="minorEastAsia" w:hAnsiTheme="minorEastAsia" w:eastAsiaTheme="minorEastAsia"/>
          <w:sz w:val="44"/>
          <w:szCs w:val="44"/>
        </w:rPr>
      </w:pPr>
      <w:r>
        <w:rPr>
          <w:rFonts w:hint="eastAsia" w:cs="楷体_GB2312" w:asciiTheme="minorEastAsia" w:hAnsiTheme="minorEastAsia" w:eastAsiaTheme="minorEastAsia"/>
          <w:sz w:val="44"/>
          <w:szCs w:val="44"/>
        </w:rPr>
        <w:t>目 录</w:t>
      </w:r>
    </w:p>
    <w:p w14:paraId="590801AA">
      <w:pPr>
        <w:pStyle w:val="24"/>
        <w:adjustRightInd w:val="0"/>
        <w:snapToGrid w:val="0"/>
        <w:rPr>
          <w:rFonts w:hint="eastAsia" w:cs="Times New Roman" w:asciiTheme="minorEastAsia" w:hAnsiTheme="minorEastAsia" w:eastAsiaTheme="minorEastAsia"/>
          <w:sz w:val="32"/>
          <w:szCs w:val="32"/>
        </w:rPr>
      </w:pPr>
    </w:p>
    <w:p w14:paraId="5D70222E">
      <w:pPr>
        <w:pStyle w:val="24"/>
        <w:adjustRightInd w:val="0"/>
        <w:snapToGrid w:val="0"/>
        <w:rPr>
          <w:rFonts w:hint="eastAsia" w:cs="Times New Roman" w:asciiTheme="minorEastAsia" w:hAnsiTheme="minorEastAsia" w:eastAsiaTheme="minorEastAsia"/>
          <w:sz w:val="32"/>
          <w:szCs w:val="32"/>
        </w:rPr>
      </w:pPr>
    </w:p>
    <w:p w14:paraId="3D5BB094">
      <w:pPr>
        <w:spacing w:line="360" w:lineRule="auto"/>
        <w:ind w:firstLine="480" w:firstLineChars="200"/>
        <w:rPr>
          <w:rFonts w:hint="eastAsia" w:ascii="宋体" w:hAnsi="宋体" w:cs="宋体"/>
          <w:snapToGrid w:val="0"/>
          <w:sz w:val="24"/>
          <w:szCs w:val="24"/>
        </w:rPr>
      </w:pPr>
      <w:r>
        <w:rPr>
          <w:rFonts w:hint="eastAsia" w:cs="楷体_GB2312" w:asciiTheme="minorEastAsia" w:hAnsiTheme="minorEastAsia" w:eastAsiaTheme="minorEastAsia"/>
          <w:snapToGrid w:val="0"/>
          <w:sz w:val="24"/>
          <w:szCs w:val="24"/>
        </w:rPr>
        <w:t>（1）</w:t>
      </w:r>
      <w:r>
        <w:rPr>
          <w:rFonts w:hint="eastAsia" w:ascii="宋体" w:hAnsi="宋体" w:cs="宋体"/>
          <w:snapToGrid w:val="0"/>
          <w:sz w:val="24"/>
          <w:szCs w:val="24"/>
        </w:rPr>
        <w:t>授权委托书（原件）</w:t>
      </w:r>
    </w:p>
    <w:p w14:paraId="7CFFBF1B">
      <w:pPr>
        <w:spacing w:line="360" w:lineRule="auto"/>
        <w:ind w:firstLine="480" w:firstLineChars="200"/>
        <w:rPr>
          <w:rFonts w:hint="eastAsia" w:ascii="宋体" w:hAnsi="宋体" w:cs="宋体"/>
          <w:snapToGrid w:val="0"/>
          <w:sz w:val="24"/>
          <w:szCs w:val="24"/>
        </w:rPr>
      </w:pPr>
      <w:r>
        <w:rPr>
          <w:rFonts w:hint="eastAsia" w:cs="楷体_GB2312" w:asciiTheme="minorEastAsia" w:hAnsiTheme="minorEastAsia" w:eastAsiaTheme="minorEastAsia"/>
          <w:snapToGrid w:val="0"/>
          <w:sz w:val="24"/>
          <w:szCs w:val="24"/>
        </w:rPr>
        <w:t>（2）</w:t>
      </w:r>
      <w:r>
        <w:rPr>
          <w:rFonts w:hint="eastAsia" w:ascii="宋体" w:hAnsi="宋体" w:cs="宋体"/>
          <w:snapToGrid w:val="0"/>
          <w:sz w:val="24"/>
          <w:szCs w:val="24"/>
        </w:rPr>
        <w:t>法定代表人身份证明（原件）</w:t>
      </w:r>
    </w:p>
    <w:p w14:paraId="7EC4F31A">
      <w:pPr>
        <w:spacing w:line="360" w:lineRule="auto"/>
        <w:ind w:firstLine="480" w:firstLineChars="200"/>
        <w:rPr>
          <w:rFonts w:hint="eastAsia" w:ascii="宋体" w:hAnsi="宋体" w:cs="宋体"/>
          <w:snapToGrid w:val="0"/>
          <w:sz w:val="24"/>
          <w:szCs w:val="24"/>
        </w:rPr>
      </w:pPr>
      <w:r>
        <w:rPr>
          <w:rFonts w:hint="eastAsia" w:cs="楷体_GB2312" w:asciiTheme="minorEastAsia" w:hAnsiTheme="minorEastAsia" w:eastAsiaTheme="minorEastAsia"/>
          <w:snapToGrid w:val="0"/>
          <w:sz w:val="24"/>
          <w:szCs w:val="24"/>
        </w:rPr>
        <w:t>（3）</w:t>
      </w:r>
      <w:r>
        <w:rPr>
          <w:rFonts w:hint="eastAsia" w:ascii="宋体" w:hAnsi="宋体" w:cs="宋体"/>
          <w:snapToGrid w:val="0"/>
          <w:sz w:val="24"/>
          <w:szCs w:val="24"/>
        </w:rPr>
        <w:t>企业营业执照（复印件）</w:t>
      </w:r>
    </w:p>
    <w:p w14:paraId="58081A92">
      <w:pPr>
        <w:spacing w:line="360" w:lineRule="auto"/>
        <w:ind w:firstLine="480" w:firstLineChars="200"/>
        <w:rPr>
          <w:rFonts w:hint="eastAsia"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（4）</w:t>
      </w:r>
      <w:r>
        <w:rPr>
          <w:rFonts w:hint="eastAsia" w:cs="楷体_GB2312" w:asciiTheme="minorEastAsia" w:hAnsiTheme="minorEastAsia" w:eastAsiaTheme="minorEastAsia"/>
          <w:snapToGrid w:val="0"/>
          <w:sz w:val="24"/>
          <w:szCs w:val="24"/>
        </w:rPr>
        <w:t>投标函</w:t>
      </w:r>
      <w:r>
        <w:rPr>
          <w:rFonts w:hint="eastAsia" w:ascii="宋体" w:hAnsi="宋体" w:cs="宋体"/>
          <w:snapToGrid w:val="0"/>
          <w:sz w:val="24"/>
          <w:szCs w:val="24"/>
        </w:rPr>
        <w:t>（原件）</w:t>
      </w:r>
    </w:p>
    <w:p w14:paraId="393DFA45">
      <w:pPr>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（5）工程量清单报价表</w:t>
      </w:r>
      <w:r>
        <w:rPr>
          <w:rFonts w:hint="eastAsia" w:ascii="宋体" w:hAnsi="宋体" w:cs="宋体"/>
          <w:snapToGrid w:val="0"/>
          <w:sz w:val="24"/>
          <w:szCs w:val="24"/>
        </w:rPr>
        <w:t>（原件）</w:t>
      </w:r>
    </w:p>
    <w:p w14:paraId="6CEA19EE">
      <w:pPr>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（6）分部分项表等</w:t>
      </w:r>
      <w:r>
        <w:rPr>
          <w:rFonts w:hint="eastAsia" w:ascii="宋体" w:hAnsi="宋体" w:cs="宋体"/>
          <w:snapToGrid w:val="0"/>
          <w:sz w:val="24"/>
          <w:szCs w:val="24"/>
        </w:rPr>
        <w:t>（原件）</w:t>
      </w:r>
    </w:p>
    <w:p w14:paraId="74117583">
      <w:pPr>
        <w:spacing w:line="360" w:lineRule="auto"/>
        <w:ind w:firstLine="480" w:firstLineChars="200"/>
        <w:rPr>
          <w:rFonts w:hint="eastAsia" w:cs="楷体_GB2312" w:asciiTheme="minorEastAsia" w:hAnsiTheme="minorEastAsia" w:eastAsiaTheme="minorEastAsia"/>
          <w:snapToGrid w:val="0"/>
          <w:sz w:val="24"/>
          <w:szCs w:val="24"/>
        </w:rPr>
      </w:pPr>
      <w:r>
        <w:rPr>
          <w:rFonts w:hint="eastAsia" w:cs="楷体_GB2312" w:asciiTheme="minorEastAsia" w:hAnsiTheme="minorEastAsia" w:eastAsiaTheme="minorEastAsia"/>
          <w:snapToGrid w:val="0"/>
          <w:sz w:val="24"/>
          <w:szCs w:val="24"/>
        </w:rPr>
        <w:t>（7）其他资料</w:t>
      </w:r>
    </w:p>
    <w:p w14:paraId="12CD4AE3">
      <w:pPr>
        <w:spacing w:line="360" w:lineRule="auto"/>
        <w:ind w:firstLine="480" w:firstLineChars="200"/>
        <w:rPr>
          <w:rFonts w:hint="eastAsia" w:cs="楷体_GB2312" w:asciiTheme="minorEastAsia" w:hAnsiTheme="minorEastAsia" w:eastAsiaTheme="minorEastAsia"/>
          <w:snapToGrid w:val="0"/>
          <w:sz w:val="24"/>
          <w:szCs w:val="24"/>
        </w:rPr>
      </w:pPr>
    </w:p>
    <w:p w14:paraId="66DEA5D4">
      <w:pPr>
        <w:spacing w:line="360" w:lineRule="auto"/>
        <w:ind w:firstLine="480" w:firstLineChars="200"/>
        <w:rPr>
          <w:rFonts w:hint="eastAsia" w:cs="楷体_GB2312" w:asciiTheme="minorEastAsia" w:hAnsiTheme="minorEastAsia" w:eastAsiaTheme="minorEastAsia"/>
          <w:snapToGrid w:val="0"/>
          <w:sz w:val="24"/>
          <w:szCs w:val="24"/>
        </w:rPr>
      </w:pPr>
    </w:p>
    <w:p w14:paraId="249D4CE9">
      <w:pPr>
        <w:pStyle w:val="24"/>
        <w:tabs>
          <w:tab w:val="left" w:pos="720"/>
        </w:tabs>
        <w:adjustRightInd w:val="0"/>
        <w:snapToGrid w:val="0"/>
        <w:spacing w:line="360" w:lineRule="auto"/>
        <w:ind w:firstLine="640" w:firstLineChars="200"/>
        <w:rPr>
          <w:rFonts w:hint="eastAsia" w:cs="Times New Roman" w:asciiTheme="minorEastAsia" w:hAnsiTheme="minorEastAsia" w:eastAsiaTheme="minorEastAsia"/>
          <w:sz w:val="32"/>
          <w:szCs w:val="32"/>
        </w:rPr>
      </w:pPr>
    </w:p>
    <w:p w14:paraId="6AB5D3F7">
      <w:pPr>
        <w:pStyle w:val="24"/>
        <w:adjustRightInd w:val="0"/>
        <w:snapToGrid w:val="0"/>
        <w:spacing w:line="360" w:lineRule="auto"/>
        <w:jc w:val="center"/>
        <w:rPr>
          <w:rFonts w:hint="eastAsia" w:ascii="黑体" w:hAnsi="黑体" w:eastAsia="黑体"/>
          <w:sz w:val="36"/>
        </w:rPr>
      </w:pPr>
      <w:r>
        <w:rPr>
          <w:rFonts w:asciiTheme="minorEastAsia" w:hAnsiTheme="minorEastAsia" w:eastAsiaTheme="minorEastAsia"/>
          <w:sz w:val="24"/>
          <w:szCs w:val="24"/>
        </w:rPr>
        <w:br w:type="page"/>
      </w:r>
      <w:r>
        <w:rPr>
          <w:rFonts w:hint="eastAsia" w:ascii="黑体" w:hAnsi="黑体" w:eastAsia="黑体"/>
          <w:sz w:val="36"/>
        </w:rPr>
        <w:t>授</w:t>
      </w:r>
      <w:r>
        <w:rPr>
          <w:rFonts w:ascii="黑体" w:hAnsi="黑体" w:eastAsia="黑体"/>
          <w:sz w:val="36"/>
        </w:rPr>
        <w:t xml:space="preserve"> </w:t>
      </w:r>
      <w:r>
        <w:rPr>
          <w:rFonts w:hint="eastAsia" w:ascii="黑体" w:hAnsi="黑体" w:eastAsia="黑体"/>
          <w:sz w:val="36"/>
        </w:rPr>
        <w:t>权</w:t>
      </w:r>
      <w:r>
        <w:rPr>
          <w:rFonts w:ascii="黑体" w:hAnsi="黑体" w:eastAsia="黑体"/>
          <w:sz w:val="36"/>
        </w:rPr>
        <w:t xml:space="preserve"> </w:t>
      </w:r>
      <w:r>
        <w:rPr>
          <w:rFonts w:hint="eastAsia" w:ascii="黑体" w:hAnsi="黑体" w:eastAsia="黑体"/>
          <w:sz w:val="36"/>
        </w:rPr>
        <w:t>委</w:t>
      </w:r>
      <w:r>
        <w:rPr>
          <w:rFonts w:ascii="黑体" w:hAnsi="黑体" w:eastAsia="黑体"/>
          <w:sz w:val="36"/>
        </w:rPr>
        <w:t xml:space="preserve"> </w:t>
      </w:r>
      <w:r>
        <w:rPr>
          <w:rFonts w:hint="eastAsia" w:ascii="黑体" w:hAnsi="黑体" w:eastAsia="黑体"/>
          <w:sz w:val="36"/>
        </w:rPr>
        <w:t>托</w:t>
      </w:r>
      <w:r>
        <w:rPr>
          <w:rFonts w:ascii="黑体" w:hAnsi="黑体" w:eastAsia="黑体"/>
          <w:sz w:val="36"/>
        </w:rPr>
        <w:t xml:space="preserve"> </w:t>
      </w:r>
      <w:r>
        <w:rPr>
          <w:rFonts w:hint="eastAsia" w:ascii="黑体" w:hAnsi="黑体" w:eastAsia="黑体"/>
          <w:sz w:val="36"/>
        </w:rPr>
        <w:t>书</w:t>
      </w:r>
    </w:p>
    <w:p w14:paraId="24FCDF45">
      <w:pPr>
        <w:pStyle w:val="24"/>
        <w:adjustRightInd w:val="0"/>
        <w:snapToGrid w:val="0"/>
        <w:spacing w:line="360" w:lineRule="auto"/>
      </w:pPr>
    </w:p>
    <w:p w14:paraId="3FAC3167">
      <w:pPr>
        <w:pStyle w:val="24"/>
        <w:adjustRightInd w:val="0"/>
        <w:snapToGrid w:val="0"/>
        <w:spacing w:line="600" w:lineRule="exact"/>
        <w:ind w:firstLine="567"/>
        <w:rPr>
          <w:rFonts w:ascii="Times New Roman"/>
          <w:sz w:val="28"/>
          <w:szCs w:val="28"/>
        </w:rPr>
      </w:pPr>
      <w:r>
        <w:rPr>
          <w:rFonts w:hint="eastAsia" w:ascii="Times New Roman"/>
          <w:sz w:val="28"/>
          <w:szCs w:val="28"/>
        </w:rPr>
        <w:t>本授权委托书声明：我</w:t>
      </w:r>
      <w:r>
        <w:rPr>
          <w:rFonts w:ascii="Times New Roman"/>
          <w:sz w:val="28"/>
          <w:szCs w:val="28"/>
          <w:u w:val="single"/>
        </w:rPr>
        <w:t xml:space="preserve"> </w:t>
      </w:r>
      <w:r>
        <w:rPr>
          <w:rFonts w:hint="eastAsia" w:ascii="Times New Roman"/>
          <w:sz w:val="28"/>
          <w:szCs w:val="28"/>
          <w:u w:val="single"/>
        </w:rPr>
        <w:t xml:space="preserve"> </w:t>
      </w:r>
      <w:r>
        <w:rPr>
          <w:rFonts w:ascii="Times New Roman"/>
          <w:sz w:val="28"/>
          <w:szCs w:val="28"/>
          <w:u w:val="single"/>
        </w:rPr>
        <w:t xml:space="preserve"> (</w:t>
      </w:r>
      <w:r>
        <w:rPr>
          <w:rFonts w:hint="eastAsia" w:ascii="Times New Roman"/>
          <w:sz w:val="28"/>
          <w:szCs w:val="28"/>
          <w:u w:val="single"/>
        </w:rPr>
        <w:t>姓名</w:t>
      </w:r>
      <w:r>
        <w:rPr>
          <w:rFonts w:ascii="Times New Roman"/>
          <w:sz w:val="28"/>
          <w:szCs w:val="28"/>
          <w:u w:val="single"/>
        </w:rPr>
        <w:t>)</w:t>
      </w:r>
      <w:r>
        <w:rPr>
          <w:rFonts w:hint="eastAsia" w:ascii="Times New Roman"/>
          <w:sz w:val="28"/>
          <w:szCs w:val="28"/>
        </w:rPr>
        <w:t>系</w:t>
      </w:r>
      <w:r>
        <w:rPr>
          <w:rFonts w:hint="eastAsia" w:ascii="Times New Roman"/>
          <w:sz w:val="28"/>
          <w:szCs w:val="28"/>
          <w:u w:val="single"/>
        </w:rPr>
        <w:t xml:space="preserve">         </w:t>
      </w:r>
      <w:r>
        <w:rPr>
          <w:rFonts w:ascii="Times New Roman"/>
          <w:sz w:val="28"/>
          <w:szCs w:val="28"/>
          <w:u w:val="single"/>
        </w:rPr>
        <w:t>(</w:t>
      </w:r>
      <w:r>
        <w:rPr>
          <w:rFonts w:hint="eastAsia" w:ascii="Times New Roman"/>
          <w:sz w:val="28"/>
          <w:szCs w:val="28"/>
          <w:u w:val="single"/>
        </w:rPr>
        <w:t>投标人名称</w:t>
      </w:r>
      <w:r>
        <w:rPr>
          <w:rFonts w:ascii="Times New Roman"/>
          <w:sz w:val="28"/>
          <w:szCs w:val="28"/>
          <w:u w:val="single"/>
        </w:rPr>
        <w:t>)</w:t>
      </w:r>
      <w:r>
        <w:rPr>
          <w:rFonts w:hint="eastAsia" w:ascii="Times New Roman"/>
          <w:sz w:val="28"/>
          <w:szCs w:val="28"/>
          <w:u w:val="single"/>
        </w:rPr>
        <w:t xml:space="preserve">   </w:t>
      </w:r>
      <w:r>
        <w:rPr>
          <w:rFonts w:hint="eastAsia" w:ascii="Times New Roman"/>
          <w:sz w:val="28"/>
          <w:szCs w:val="28"/>
        </w:rPr>
        <w:t xml:space="preserve">的法定代表人，现授权委托本单位的 </w:t>
      </w:r>
      <w:r>
        <w:rPr>
          <w:rFonts w:hint="eastAsia" w:ascii="Times New Roman"/>
          <w:sz w:val="28"/>
          <w:szCs w:val="28"/>
          <w:u w:val="single"/>
        </w:rPr>
        <w:t xml:space="preserve">      </w:t>
      </w:r>
      <w:r>
        <w:rPr>
          <w:rFonts w:ascii="Times New Roman"/>
          <w:sz w:val="28"/>
          <w:szCs w:val="28"/>
          <w:u w:val="single"/>
        </w:rPr>
        <w:t xml:space="preserve"> (</w:t>
      </w:r>
      <w:r>
        <w:rPr>
          <w:rFonts w:hint="eastAsia" w:ascii="Times New Roman"/>
          <w:sz w:val="28"/>
          <w:szCs w:val="28"/>
          <w:u w:val="single"/>
        </w:rPr>
        <w:t>姓名</w:t>
      </w:r>
      <w:r>
        <w:rPr>
          <w:rFonts w:ascii="Times New Roman"/>
          <w:sz w:val="28"/>
          <w:szCs w:val="28"/>
          <w:u w:val="single"/>
        </w:rPr>
        <w:t>)</w:t>
      </w:r>
      <w:r>
        <w:rPr>
          <w:rFonts w:hint="eastAsia" w:ascii="Times New Roman"/>
          <w:sz w:val="28"/>
          <w:szCs w:val="28"/>
        </w:rPr>
        <w:t>为我公司代理人，以本公司的名义参加</w:t>
      </w:r>
      <w:r>
        <w:rPr>
          <w:rFonts w:ascii="Times New Roman"/>
          <w:sz w:val="28"/>
          <w:szCs w:val="28"/>
          <w:u w:val="single"/>
        </w:rPr>
        <w:t xml:space="preserve">            (</w:t>
      </w:r>
      <w:r>
        <w:rPr>
          <w:rFonts w:hint="eastAsia" w:ascii="Times New Roman"/>
          <w:sz w:val="28"/>
          <w:szCs w:val="28"/>
          <w:u w:val="single"/>
        </w:rPr>
        <w:t>工程名称</w:t>
      </w:r>
      <w:r>
        <w:rPr>
          <w:rFonts w:ascii="Times New Roman"/>
          <w:sz w:val="28"/>
          <w:szCs w:val="28"/>
          <w:u w:val="single"/>
        </w:rPr>
        <w:t>)</w:t>
      </w:r>
      <w:r>
        <w:rPr>
          <w:rFonts w:hint="eastAsia" w:ascii="Times New Roman"/>
          <w:sz w:val="28"/>
          <w:szCs w:val="28"/>
        </w:rPr>
        <w:t>的投标活动。代理人在开标、评标、合同谈判过程中所签署的一切文件和处理与之有关的一切事务，我均予以承认。</w:t>
      </w:r>
    </w:p>
    <w:p w14:paraId="7150AC26">
      <w:pPr>
        <w:pStyle w:val="24"/>
        <w:adjustRightInd w:val="0"/>
        <w:snapToGrid w:val="0"/>
        <w:spacing w:line="360" w:lineRule="auto"/>
        <w:rPr>
          <w:rFonts w:ascii="Times New Roman"/>
          <w:sz w:val="28"/>
          <w:szCs w:val="28"/>
        </w:rPr>
      </w:pPr>
    </w:p>
    <w:p w14:paraId="4759BCC1">
      <w:pPr>
        <w:pStyle w:val="24"/>
        <w:adjustRightInd w:val="0"/>
        <w:snapToGrid w:val="0"/>
        <w:spacing w:line="360" w:lineRule="auto"/>
        <w:ind w:firstLine="420"/>
        <w:rPr>
          <w:rFonts w:ascii="Times New Roman"/>
          <w:sz w:val="28"/>
          <w:szCs w:val="28"/>
        </w:rPr>
      </w:pPr>
      <w:r>
        <w:rPr>
          <w:rFonts w:hint="eastAsia" w:ascii="Times New Roman"/>
          <w:sz w:val="28"/>
          <w:szCs w:val="28"/>
        </w:rPr>
        <w:t>代理人无转委权。特此委托。</w:t>
      </w:r>
    </w:p>
    <w:p w14:paraId="43368083">
      <w:pPr>
        <w:pStyle w:val="24"/>
        <w:adjustRightInd w:val="0"/>
        <w:snapToGrid w:val="0"/>
        <w:spacing w:line="360" w:lineRule="auto"/>
        <w:rPr>
          <w:rFonts w:ascii="Times New Roman"/>
          <w:sz w:val="28"/>
          <w:szCs w:val="28"/>
        </w:rPr>
      </w:pPr>
    </w:p>
    <w:p w14:paraId="27505300">
      <w:pPr>
        <w:pStyle w:val="24"/>
        <w:adjustRightInd w:val="0"/>
        <w:snapToGrid w:val="0"/>
        <w:spacing w:line="360" w:lineRule="auto"/>
        <w:ind w:firstLine="420"/>
        <w:rPr>
          <w:rFonts w:ascii="Times New Roman"/>
          <w:sz w:val="28"/>
          <w:szCs w:val="28"/>
        </w:rPr>
      </w:pPr>
      <w:r>
        <w:rPr>
          <w:rFonts w:hint="eastAsia" w:ascii="Times New Roman"/>
          <w:sz w:val="28"/>
          <w:szCs w:val="28"/>
        </w:rPr>
        <w:t>投标人：</w:t>
      </w:r>
      <w:r>
        <w:rPr>
          <w:rFonts w:ascii="Times New Roman"/>
          <w:sz w:val="28"/>
          <w:szCs w:val="28"/>
        </w:rPr>
        <w:t>(</w:t>
      </w:r>
      <w:r>
        <w:rPr>
          <w:rFonts w:hint="eastAsia" w:ascii="Times New Roman"/>
          <w:sz w:val="28"/>
          <w:szCs w:val="28"/>
        </w:rPr>
        <w:t>盖章</w:t>
      </w:r>
      <w:r>
        <w:rPr>
          <w:rFonts w:ascii="Times New Roman"/>
          <w:sz w:val="28"/>
          <w:szCs w:val="28"/>
        </w:rPr>
        <w:t>)</w:t>
      </w:r>
    </w:p>
    <w:p w14:paraId="6A84AFEC">
      <w:pPr>
        <w:pStyle w:val="24"/>
        <w:adjustRightInd w:val="0"/>
        <w:snapToGrid w:val="0"/>
        <w:spacing w:line="360" w:lineRule="auto"/>
        <w:rPr>
          <w:rFonts w:ascii="Times New Roman"/>
          <w:sz w:val="28"/>
          <w:szCs w:val="28"/>
        </w:rPr>
      </w:pPr>
    </w:p>
    <w:p w14:paraId="2CB58785">
      <w:pPr>
        <w:pStyle w:val="24"/>
        <w:adjustRightInd w:val="0"/>
        <w:snapToGrid w:val="0"/>
        <w:spacing w:line="360" w:lineRule="auto"/>
        <w:ind w:firstLine="420"/>
        <w:rPr>
          <w:rFonts w:ascii="Times New Roman"/>
          <w:sz w:val="28"/>
          <w:szCs w:val="28"/>
        </w:rPr>
      </w:pPr>
      <w:r>
        <w:rPr>
          <w:rFonts w:hint="eastAsia" w:ascii="Times New Roman"/>
          <w:sz w:val="28"/>
          <w:szCs w:val="28"/>
        </w:rPr>
        <w:t>法定代表人：</w:t>
      </w:r>
      <w:r>
        <w:rPr>
          <w:rFonts w:ascii="Times New Roman"/>
          <w:sz w:val="28"/>
          <w:szCs w:val="28"/>
        </w:rPr>
        <w:t>(</w:t>
      </w:r>
      <w:r>
        <w:rPr>
          <w:rFonts w:hint="eastAsia" w:ascii="Times New Roman"/>
          <w:sz w:val="28"/>
          <w:szCs w:val="28"/>
        </w:rPr>
        <w:t>签字或盖章</w:t>
      </w:r>
      <w:r>
        <w:rPr>
          <w:rFonts w:ascii="Times New Roman"/>
          <w:sz w:val="28"/>
          <w:szCs w:val="28"/>
        </w:rPr>
        <w:t>)</w:t>
      </w:r>
    </w:p>
    <w:p w14:paraId="406EF336">
      <w:pPr>
        <w:pStyle w:val="24"/>
        <w:adjustRightInd w:val="0"/>
        <w:snapToGrid w:val="0"/>
        <w:spacing w:line="360" w:lineRule="auto"/>
        <w:ind w:firstLine="420"/>
        <w:rPr>
          <w:rFonts w:ascii="Times New Roman"/>
          <w:sz w:val="28"/>
          <w:szCs w:val="28"/>
        </w:rPr>
      </w:pPr>
    </w:p>
    <w:p w14:paraId="6CF8176F">
      <w:pPr>
        <w:pStyle w:val="24"/>
        <w:adjustRightInd w:val="0"/>
        <w:snapToGrid w:val="0"/>
        <w:spacing w:line="360" w:lineRule="auto"/>
        <w:ind w:firstLine="420"/>
        <w:rPr>
          <w:rFonts w:ascii="Times New Roman"/>
          <w:sz w:val="28"/>
          <w:szCs w:val="28"/>
        </w:rPr>
      </w:pPr>
      <w:r>
        <w:rPr>
          <w:rFonts w:hint="eastAsia" w:ascii="Times New Roman"/>
          <w:sz w:val="28"/>
          <w:szCs w:val="28"/>
        </w:rPr>
        <w:t>代理人：</w:t>
      </w:r>
      <w:r>
        <w:rPr>
          <w:rFonts w:ascii="Times New Roman"/>
          <w:sz w:val="28"/>
          <w:szCs w:val="28"/>
        </w:rPr>
        <w:t xml:space="preserve">              </w:t>
      </w:r>
      <w:r>
        <w:rPr>
          <w:rFonts w:hint="eastAsia" w:ascii="Times New Roman"/>
          <w:sz w:val="28"/>
          <w:szCs w:val="28"/>
        </w:rPr>
        <w:t>性别：</w:t>
      </w:r>
      <w:r>
        <w:rPr>
          <w:rFonts w:ascii="Times New Roman"/>
          <w:sz w:val="28"/>
          <w:szCs w:val="28"/>
        </w:rPr>
        <w:t xml:space="preserve">               </w:t>
      </w:r>
      <w:r>
        <w:rPr>
          <w:rFonts w:hint="eastAsia" w:ascii="Times New Roman"/>
          <w:sz w:val="28"/>
          <w:szCs w:val="28"/>
        </w:rPr>
        <w:t>年龄：</w:t>
      </w:r>
    </w:p>
    <w:p w14:paraId="079EDBE6">
      <w:pPr>
        <w:pStyle w:val="24"/>
        <w:adjustRightInd w:val="0"/>
        <w:snapToGrid w:val="0"/>
        <w:spacing w:line="360" w:lineRule="auto"/>
        <w:ind w:firstLine="420"/>
        <w:rPr>
          <w:rFonts w:ascii="Times New Roman"/>
          <w:sz w:val="28"/>
          <w:szCs w:val="28"/>
        </w:rPr>
      </w:pPr>
    </w:p>
    <w:p w14:paraId="046ED4C4">
      <w:pPr>
        <w:pStyle w:val="24"/>
        <w:adjustRightInd w:val="0"/>
        <w:snapToGrid w:val="0"/>
        <w:spacing w:line="360" w:lineRule="auto"/>
        <w:ind w:firstLine="420"/>
        <w:rPr>
          <w:rFonts w:ascii="Times New Roman"/>
          <w:sz w:val="28"/>
          <w:szCs w:val="28"/>
        </w:rPr>
      </w:pPr>
      <w:r>
        <w:rPr>
          <w:rFonts w:hint="eastAsia" w:ascii="Times New Roman"/>
          <w:sz w:val="28"/>
          <w:szCs w:val="28"/>
        </w:rPr>
        <w:t>（身份证复印件）</w:t>
      </w:r>
    </w:p>
    <w:p w14:paraId="4CC21EDC">
      <w:pPr>
        <w:pStyle w:val="24"/>
        <w:adjustRightInd w:val="0"/>
        <w:snapToGrid w:val="0"/>
        <w:spacing w:line="360" w:lineRule="auto"/>
        <w:ind w:right="120"/>
        <w:jc w:val="center"/>
        <w:rPr>
          <w:rFonts w:ascii="Times New Roman"/>
          <w:sz w:val="28"/>
          <w:szCs w:val="28"/>
        </w:rPr>
      </w:pPr>
    </w:p>
    <w:p w14:paraId="534C7811">
      <w:pPr>
        <w:pStyle w:val="24"/>
        <w:adjustRightInd w:val="0"/>
        <w:snapToGrid w:val="0"/>
        <w:spacing w:line="360" w:lineRule="auto"/>
        <w:ind w:right="120"/>
        <w:jc w:val="center"/>
        <w:rPr>
          <w:rFonts w:ascii="Times New Roman"/>
          <w:sz w:val="28"/>
          <w:szCs w:val="28"/>
        </w:rPr>
      </w:pPr>
    </w:p>
    <w:p w14:paraId="3821EFC5">
      <w:pPr>
        <w:pStyle w:val="24"/>
        <w:adjustRightInd w:val="0"/>
        <w:snapToGrid w:val="0"/>
        <w:spacing w:line="360" w:lineRule="auto"/>
        <w:ind w:right="120"/>
        <w:jc w:val="center"/>
        <w:rPr>
          <w:rFonts w:ascii="Times New Roman"/>
          <w:sz w:val="28"/>
          <w:szCs w:val="28"/>
        </w:rPr>
      </w:pPr>
    </w:p>
    <w:p w14:paraId="51C5544A">
      <w:pPr>
        <w:pStyle w:val="24"/>
        <w:adjustRightInd w:val="0"/>
        <w:snapToGrid w:val="0"/>
        <w:spacing w:line="360" w:lineRule="auto"/>
        <w:ind w:right="120"/>
        <w:jc w:val="center"/>
        <w:rPr>
          <w:rFonts w:ascii="Times New Roman"/>
          <w:sz w:val="28"/>
          <w:szCs w:val="28"/>
        </w:rPr>
      </w:pPr>
    </w:p>
    <w:p w14:paraId="066B4631">
      <w:pPr>
        <w:pStyle w:val="24"/>
        <w:spacing w:line="360" w:lineRule="auto"/>
        <w:jc w:val="center"/>
        <w:rPr>
          <w:rFonts w:hint="eastAsia" w:asciiTheme="minorEastAsia" w:hAnsiTheme="minorEastAsia" w:eastAsiaTheme="minorEastAsia"/>
          <w:sz w:val="24"/>
          <w:szCs w:val="24"/>
        </w:rPr>
      </w:pPr>
      <w:r>
        <w:rPr>
          <w:rFonts w:hint="eastAsia" w:ascii="Times New Roman"/>
          <w:sz w:val="28"/>
          <w:szCs w:val="28"/>
        </w:rPr>
        <w:t xml:space="preserve">  </w:t>
      </w:r>
      <w:r>
        <w:rPr>
          <w:rFonts w:ascii="Times New Roman"/>
          <w:sz w:val="28"/>
          <w:szCs w:val="28"/>
        </w:rPr>
        <w:t xml:space="preserve">   </w:t>
      </w:r>
      <w:r>
        <w:rPr>
          <w:rFonts w:hint="eastAsia" w:ascii="Times New Roman"/>
          <w:sz w:val="28"/>
          <w:szCs w:val="28"/>
        </w:rPr>
        <w:t>日期：           年        月     日</w:t>
      </w:r>
    </w:p>
    <w:p w14:paraId="56090E9B">
      <w:pPr>
        <w:autoSpaceDE w:val="0"/>
        <w:autoSpaceDN w:val="0"/>
        <w:adjustRightInd w:val="0"/>
        <w:jc w:val="center"/>
        <w:rPr>
          <w:rFonts w:hint="eastAsia" w:ascii="宋体" w:hAnsi="宋体" w:cs="宋体"/>
          <w:b/>
          <w:sz w:val="44"/>
          <w:szCs w:val="44"/>
        </w:rPr>
      </w:pPr>
      <w:r>
        <w:rPr>
          <w:rFonts w:asciiTheme="minorEastAsia" w:hAnsiTheme="minorEastAsia" w:eastAsiaTheme="minorEastAsia"/>
          <w:sz w:val="24"/>
          <w:szCs w:val="24"/>
        </w:rPr>
        <w:br w:type="page"/>
      </w:r>
      <w:r>
        <w:rPr>
          <w:rFonts w:hint="eastAsia" w:ascii="宋体" w:hAnsi="宋体" w:cs="宋体"/>
          <w:b/>
          <w:sz w:val="44"/>
          <w:szCs w:val="44"/>
        </w:rPr>
        <w:t>法定代表人身份证明</w:t>
      </w:r>
    </w:p>
    <w:p w14:paraId="0B9684C6">
      <w:pPr>
        <w:autoSpaceDE w:val="0"/>
        <w:autoSpaceDN w:val="0"/>
        <w:adjustRightInd w:val="0"/>
        <w:ind w:firstLine="480" w:firstLineChars="200"/>
        <w:rPr>
          <w:rFonts w:hint="eastAsia" w:ascii="宋体" w:hAnsi="TimesNewRomanPSMT" w:cs="宋体"/>
          <w:sz w:val="24"/>
          <w:szCs w:val="24"/>
        </w:rPr>
      </w:pPr>
    </w:p>
    <w:p w14:paraId="300B8E1C">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投 标 人：</w:t>
      </w:r>
    </w:p>
    <w:p w14:paraId="7EB9578E">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单位性质：</w:t>
      </w:r>
    </w:p>
    <w:p w14:paraId="6AE09696">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地    址：</w:t>
      </w:r>
    </w:p>
    <w:p w14:paraId="0B7BECFE">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成立时间：    年   月   日</w:t>
      </w:r>
    </w:p>
    <w:p w14:paraId="1BCF9D17">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经营期限：</w:t>
      </w:r>
    </w:p>
    <w:p w14:paraId="4039AA30">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姓    名：    性        别：</w:t>
      </w:r>
    </w:p>
    <w:p w14:paraId="07EE2DD0">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年    龄：    职        务：</w:t>
      </w:r>
    </w:p>
    <w:p w14:paraId="6F087E4D">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系（</w:t>
      </w:r>
      <w:r>
        <w:rPr>
          <w:rFonts w:hint="eastAsia" w:ascii="宋体" w:hAnsi="TimesNewRomanPSMT" w:cs="宋体"/>
          <w:sz w:val="28"/>
          <w:szCs w:val="28"/>
          <w:u w:val="single"/>
        </w:rPr>
        <w:t>投标人名称）</w:t>
      </w:r>
      <w:r>
        <w:rPr>
          <w:rFonts w:hint="eastAsia" w:ascii="宋体" w:hAnsi="TimesNewRomanPSMT" w:cs="宋体"/>
          <w:sz w:val="28"/>
          <w:szCs w:val="28"/>
        </w:rPr>
        <w:t>的法定代表人。</w:t>
      </w:r>
    </w:p>
    <w:p w14:paraId="609F6011">
      <w:pPr>
        <w:autoSpaceDE w:val="0"/>
        <w:autoSpaceDN w:val="0"/>
        <w:adjustRightInd w:val="0"/>
        <w:spacing w:line="360" w:lineRule="auto"/>
        <w:ind w:firstLine="1120" w:firstLineChars="400"/>
        <w:rPr>
          <w:rFonts w:hint="eastAsia" w:ascii="宋体" w:hAnsi="TimesNewRomanPSMT" w:cs="宋体"/>
          <w:sz w:val="28"/>
          <w:szCs w:val="28"/>
        </w:rPr>
      </w:pPr>
      <w:r>
        <w:rPr>
          <w:rFonts w:hint="eastAsia" w:ascii="宋体" w:hAnsi="TimesNewRomanPSMT" w:cs="宋体"/>
          <w:sz w:val="28"/>
          <w:szCs w:val="28"/>
        </w:rPr>
        <w:t>特此证明。</w:t>
      </w:r>
    </w:p>
    <w:p w14:paraId="17B6F383">
      <w:pPr>
        <w:autoSpaceDE w:val="0"/>
        <w:autoSpaceDN w:val="0"/>
        <w:adjustRightInd w:val="0"/>
        <w:spacing w:line="360" w:lineRule="auto"/>
        <w:ind w:firstLine="560" w:firstLineChars="200"/>
        <w:rPr>
          <w:rFonts w:hint="eastAsia" w:ascii="宋体" w:hAnsi="TimesNewRomanPSMT" w:cs="宋体"/>
          <w:sz w:val="28"/>
          <w:szCs w:val="28"/>
        </w:rPr>
      </w:pPr>
    </w:p>
    <w:p w14:paraId="50D9E4C4">
      <w:pPr>
        <w:autoSpaceDE w:val="0"/>
        <w:autoSpaceDN w:val="0"/>
        <w:adjustRightInd w:val="0"/>
        <w:spacing w:line="360" w:lineRule="auto"/>
        <w:ind w:firstLine="560" w:firstLineChars="200"/>
        <w:rPr>
          <w:rFonts w:hint="eastAsia" w:ascii="宋体" w:hAnsi="TimesNewRomanPSMT" w:cs="宋体"/>
          <w:sz w:val="28"/>
          <w:szCs w:val="28"/>
        </w:rPr>
      </w:pPr>
      <w:r>
        <w:rPr>
          <w:rFonts w:hint="eastAsia" w:ascii="宋体" w:hAnsi="TimesNewRomanPSMT" w:cs="宋体"/>
          <w:sz w:val="28"/>
          <w:szCs w:val="28"/>
        </w:rPr>
        <w:t>附：法定代表人身份证复印件。</w:t>
      </w:r>
    </w:p>
    <w:p w14:paraId="4CFD570D">
      <w:pPr>
        <w:autoSpaceDE w:val="0"/>
        <w:autoSpaceDN w:val="0"/>
        <w:adjustRightInd w:val="0"/>
        <w:spacing w:line="360" w:lineRule="auto"/>
        <w:ind w:firstLine="560" w:firstLineChars="200"/>
        <w:rPr>
          <w:rFonts w:hint="eastAsia" w:ascii="宋体" w:hAnsi="TimesNewRomanPSMT" w:cs="宋体"/>
          <w:sz w:val="28"/>
          <w:szCs w:val="28"/>
        </w:rPr>
      </w:pPr>
    </w:p>
    <w:p w14:paraId="0817F6E8">
      <w:pPr>
        <w:autoSpaceDE w:val="0"/>
        <w:autoSpaceDN w:val="0"/>
        <w:adjustRightInd w:val="0"/>
        <w:spacing w:line="360" w:lineRule="auto"/>
        <w:ind w:firstLine="560" w:firstLineChars="200"/>
        <w:rPr>
          <w:rFonts w:hint="eastAsia" w:ascii="宋体" w:hAnsi="TimesNewRomanPSMT" w:cs="宋体"/>
          <w:sz w:val="28"/>
          <w:szCs w:val="28"/>
        </w:rPr>
      </w:pPr>
    </w:p>
    <w:p w14:paraId="331DC249">
      <w:pPr>
        <w:autoSpaceDE w:val="0"/>
        <w:autoSpaceDN w:val="0"/>
        <w:adjustRightInd w:val="0"/>
        <w:spacing w:line="360" w:lineRule="auto"/>
        <w:ind w:firstLine="2660" w:firstLineChars="950"/>
        <w:rPr>
          <w:rFonts w:hint="eastAsia" w:ascii="宋体" w:hAnsi="TimesNewRomanPSMT" w:cs="宋体"/>
          <w:sz w:val="28"/>
          <w:szCs w:val="28"/>
        </w:rPr>
      </w:pPr>
      <w:r>
        <w:rPr>
          <w:rFonts w:hint="eastAsia" w:ascii="宋体" w:hAnsi="TimesNewRomanPSMT" w:cs="宋体"/>
          <w:sz w:val="28"/>
          <w:szCs w:val="28"/>
        </w:rPr>
        <w:t>投标人：（盖单位章）</w:t>
      </w:r>
    </w:p>
    <w:p w14:paraId="183413E8">
      <w:pPr>
        <w:autoSpaceDE w:val="0"/>
        <w:autoSpaceDN w:val="0"/>
        <w:adjustRightInd w:val="0"/>
        <w:spacing w:line="360" w:lineRule="auto"/>
        <w:ind w:firstLine="5180" w:firstLineChars="1850"/>
        <w:rPr>
          <w:rFonts w:hint="eastAsia" w:ascii="宋体" w:hAnsi="TimesNewRomanPSMT" w:cs="宋体"/>
          <w:sz w:val="28"/>
          <w:szCs w:val="28"/>
        </w:rPr>
      </w:pPr>
    </w:p>
    <w:p w14:paraId="5A4504C8">
      <w:pPr>
        <w:pStyle w:val="24"/>
        <w:spacing w:line="360" w:lineRule="auto"/>
        <w:jc w:val="center"/>
        <w:rPr>
          <w:rFonts w:hint="eastAsia" w:asciiTheme="minorEastAsia" w:hAnsiTheme="minorEastAsia" w:eastAsiaTheme="minorEastAsia"/>
          <w:sz w:val="24"/>
          <w:szCs w:val="24"/>
        </w:rPr>
      </w:pPr>
      <w:r>
        <w:rPr>
          <w:rFonts w:hint="eastAsia" w:hAnsi="TimesNewRomanPSMT"/>
          <w:sz w:val="28"/>
          <w:szCs w:val="28"/>
        </w:rPr>
        <w:t>年     月     日</w:t>
      </w:r>
    </w:p>
    <w:p w14:paraId="7E44D653">
      <w:pPr>
        <w:pStyle w:val="24"/>
        <w:spacing w:line="360" w:lineRule="auto"/>
        <w:jc w:val="center"/>
        <w:rPr>
          <w:rFonts w:hint="eastAsia" w:cs="Times New Roman" w:asciiTheme="minorEastAsia" w:hAnsiTheme="minorEastAsia" w:eastAsiaTheme="minorEastAsia"/>
          <w:sz w:val="32"/>
          <w:szCs w:val="32"/>
        </w:rPr>
      </w:pPr>
      <w:r>
        <w:rPr>
          <w:rFonts w:asciiTheme="minorEastAsia" w:hAnsiTheme="minorEastAsia" w:eastAsiaTheme="minorEastAsia"/>
          <w:sz w:val="24"/>
          <w:szCs w:val="24"/>
        </w:rPr>
        <w:br w:type="page"/>
      </w:r>
      <w:r>
        <w:rPr>
          <w:rFonts w:hint="eastAsia" w:cs="楷体_GB2312" w:asciiTheme="minorEastAsia" w:hAnsiTheme="minorEastAsia" w:eastAsiaTheme="minorEastAsia"/>
          <w:sz w:val="32"/>
          <w:szCs w:val="32"/>
        </w:rPr>
        <w:t>投标函</w:t>
      </w:r>
    </w:p>
    <w:p w14:paraId="2DD2B0AC">
      <w:pPr>
        <w:pStyle w:val="24"/>
        <w:adjustRightInd w:val="0"/>
        <w:snapToGrid w:val="0"/>
        <w:spacing w:line="300" w:lineRule="auto"/>
        <w:jc w:val="center"/>
        <w:rPr>
          <w:rFonts w:hint="eastAsia" w:cs="Times New Roman" w:asciiTheme="minorEastAsia" w:hAnsiTheme="minorEastAsia" w:eastAsiaTheme="minorEastAsia"/>
          <w:sz w:val="28"/>
          <w:szCs w:val="28"/>
        </w:rPr>
      </w:pPr>
    </w:p>
    <w:p w14:paraId="1BA2C75B">
      <w:pPr>
        <w:pStyle w:val="24"/>
        <w:adjustRightInd w:val="0"/>
        <w:snapToGrid w:val="0"/>
        <w:spacing w:before="120" w:beforeLines="50" w:after="120" w:afterLines="50" w:line="360" w:lineRule="auto"/>
        <w:rPr>
          <w:rFonts w:hint="eastAsia" w:cs="Times New Roman" w:asciiTheme="minorEastAsia" w:hAnsiTheme="minorEastAsia" w:eastAsiaTheme="minorEastAsia"/>
          <w:sz w:val="28"/>
          <w:szCs w:val="28"/>
          <w:u w:val="single"/>
        </w:rPr>
      </w:pPr>
      <w:r>
        <w:rPr>
          <w:rFonts w:hint="eastAsia" w:cs="楷体_GB2312" w:asciiTheme="minorEastAsia" w:hAnsiTheme="minorEastAsia" w:eastAsiaTheme="minorEastAsia"/>
          <w:sz w:val="28"/>
          <w:szCs w:val="28"/>
        </w:rPr>
        <w:t>招标人:</w:t>
      </w:r>
      <w:r>
        <w:rPr>
          <w:rFonts w:hint="eastAsia" w:cs="楷体_GB2312" w:asciiTheme="minorEastAsia" w:hAnsiTheme="minorEastAsia" w:eastAsiaTheme="minorEastAsia"/>
          <w:sz w:val="28"/>
          <w:szCs w:val="28"/>
          <w:u w:val="single"/>
        </w:rPr>
        <w:t xml:space="preserve"> </w:t>
      </w:r>
      <w:r>
        <w:rPr>
          <w:rFonts w:hint="eastAsia" w:hAnsi="宋体" w:cs="Times New Roman" w:eastAsiaTheme="minorEastAsia"/>
          <w:sz w:val="28"/>
          <w:szCs w:val="28"/>
          <w:u w:val="single"/>
          <w:shd w:val="clear" w:color="auto" w:fill="FFFFFF"/>
        </w:rPr>
        <w:t>江苏万杨物业管理服务有限公司江都分公司</w:t>
      </w:r>
    </w:p>
    <w:p w14:paraId="4CA3284A">
      <w:pPr>
        <w:pStyle w:val="24"/>
        <w:adjustRightInd w:val="0"/>
        <w:snapToGrid w:val="0"/>
        <w:spacing w:line="36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1、根据已收到的</w:t>
      </w:r>
      <w:r>
        <w:rPr>
          <w:rFonts w:hint="eastAsia" w:cs="楷体_GB2312" w:asciiTheme="minorEastAsia" w:hAnsiTheme="minorEastAsia" w:eastAsiaTheme="minorEastAsia"/>
          <w:sz w:val="28"/>
          <w:szCs w:val="28"/>
          <w:u w:val="single"/>
        </w:rPr>
        <w:t xml:space="preserve">      （工程名称）      </w:t>
      </w:r>
      <w:r>
        <w:rPr>
          <w:rFonts w:hint="eastAsia" w:cs="楷体_GB2312" w:asciiTheme="minorEastAsia" w:hAnsiTheme="minorEastAsia" w:eastAsiaTheme="minorEastAsia"/>
          <w:sz w:val="28"/>
          <w:szCs w:val="28"/>
        </w:rPr>
        <w:t>的招标文件，我单位经考察现场和研究上述工程招标文件的投标须知、合同条件、图纸、工程量清单和其他有关文件后，我方愿以人民币</w:t>
      </w:r>
      <w:r>
        <w:rPr>
          <w:rFonts w:hint="eastAsia" w:cs="楷体_GB2312" w:asciiTheme="minorEastAsia" w:hAnsiTheme="minorEastAsia" w:eastAsiaTheme="minorEastAsia"/>
          <w:sz w:val="28"/>
          <w:szCs w:val="28"/>
          <w:u w:val="single"/>
        </w:rPr>
        <w:t xml:space="preserve">            </w:t>
      </w:r>
      <w:r>
        <w:rPr>
          <w:rFonts w:hint="eastAsia" w:cs="楷体_GB2312" w:asciiTheme="minorEastAsia" w:hAnsiTheme="minorEastAsia" w:eastAsiaTheme="minorEastAsia"/>
          <w:sz w:val="28"/>
          <w:szCs w:val="28"/>
        </w:rPr>
        <w:t>元的总价，按上述合同条件、技术规范、图纸、工程量清单的条件承包上述工程的施工、竣工和保修。</w:t>
      </w:r>
    </w:p>
    <w:p w14:paraId="6A194B54">
      <w:pPr>
        <w:pStyle w:val="24"/>
        <w:adjustRightInd w:val="0"/>
        <w:snapToGrid w:val="0"/>
        <w:spacing w:line="360" w:lineRule="auto"/>
        <w:ind w:firstLine="359"/>
        <w:rPr>
          <w:rFonts w:hint="eastAsia" w:cs="Times New Roman" w:asciiTheme="minorEastAsia" w:hAnsiTheme="minorEastAsia" w:eastAsiaTheme="minorEastAsia"/>
          <w:sz w:val="28"/>
          <w:szCs w:val="28"/>
          <w:u w:val="single"/>
        </w:rPr>
      </w:pPr>
      <w:r>
        <w:rPr>
          <w:rFonts w:hint="eastAsia" w:cs="楷体_GB2312" w:asciiTheme="minorEastAsia" w:hAnsiTheme="minorEastAsia" w:eastAsiaTheme="minorEastAsia"/>
          <w:sz w:val="28"/>
          <w:szCs w:val="28"/>
        </w:rPr>
        <w:t>2、一旦我方中标，我方保证在</w:t>
      </w:r>
      <w:r>
        <w:rPr>
          <w:rFonts w:hint="eastAsia" w:cs="楷体_GB2312" w:asciiTheme="minorEastAsia" w:hAnsiTheme="minorEastAsia" w:eastAsiaTheme="minorEastAsia"/>
          <w:sz w:val="28"/>
          <w:szCs w:val="28"/>
          <w:u w:val="single"/>
        </w:rPr>
        <w:t xml:space="preserve">      </w:t>
      </w:r>
      <w:r>
        <w:rPr>
          <w:rFonts w:hint="eastAsia" w:cs="楷体_GB2312" w:asciiTheme="minorEastAsia" w:hAnsiTheme="minorEastAsia" w:eastAsiaTheme="minorEastAsia"/>
          <w:sz w:val="28"/>
          <w:szCs w:val="28"/>
        </w:rPr>
        <w:t>日历天内竣工并移交整个工程。</w:t>
      </w:r>
    </w:p>
    <w:p w14:paraId="09AD3B99">
      <w:pPr>
        <w:pStyle w:val="24"/>
        <w:adjustRightInd w:val="0"/>
        <w:snapToGrid w:val="0"/>
        <w:spacing w:line="36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3、如果我方中标，将派出_____________（项目负责人姓名）作为本工程的项目负责人。</w:t>
      </w:r>
    </w:p>
    <w:p w14:paraId="359AA5A6">
      <w:pPr>
        <w:pStyle w:val="24"/>
        <w:adjustRightInd w:val="0"/>
        <w:snapToGrid w:val="0"/>
        <w:spacing w:line="36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4、我方接受招标文件中的工程款支付条件。</w:t>
      </w:r>
    </w:p>
    <w:p w14:paraId="3BB52011">
      <w:pPr>
        <w:pStyle w:val="24"/>
        <w:adjustRightInd w:val="0"/>
        <w:snapToGrid w:val="0"/>
        <w:spacing w:line="36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2、我方同意所递交的投标文件在“投标须知”前附表规定的投标有效期内有效，在此期间内我方的投标有可能中标，我方将受此约束。</w:t>
      </w:r>
    </w:p>
    <w:p w14:paraId="1D363642">
      <w:pPr>
        <w:pStyle w:val="24"/>
        <w:adjustRightInd w:val="0"/>
        <w:snapToGrid w:val="0"/>
        <w:spacing w:line="36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6、除非另外达成协议并生效，你方的中标通知书和本投标文件将构成约束我们双方的合同。</w:t>
      </w:r>
    </w:p>
    <w:p w14:paraId="1F29B759">
      <w:pPr>
        <w:pStyle w:val="24"/>
        <w:adjustRightInd w:val="0"/>
        <w:snapToGrid w:val="0"/>
        <w:spacing w:line="36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7、我方承诺一旦我方中标，本工程质量标准达到国家质量验收标准。</w:t>
      </w:r>
    </w:p>
    <w:p w14:paraId="27C4ED45">
      <w:pPr>
        <w:pStyle w:val="24"/>
        <w:adjustRightInd w:val="0"/>
        <w:snapToGrid w:val="0"/>
        <w:spacing w:line="300" w:lineRule="auto"/>
        <w:rPr>
          <w:rFonts w:hint="eastAsia" w:cs="Times New Roman" w:asciiTheme="minorEastAsia" w:hAnsiTheme="minorEastAsia" w:eastAsiaTheme="minorEastAsia"/>
          <w:sz w:val="28"/>
          <w:szCs w:val="28"/>
        </w:rPr>
      </w:pPr>
    </w:p>
    <w:p w14:paraId="4B0D566E">
      <w:pPr>
        <w:pStyle w:val="24"/>
        <w:adjustRightInd w:val="0"/>
        <w:snapToGrid w:val="0"/>
        <w:spacing w:line="300" w:lineRule="auto"/>
        <w:ind w:firstLine="359"/>
        <w:rPr>
          <w:rFonts w:hint="eastAsia"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rPr>
        <w:t>投标人：(盖章)</w:t>
      </w:r>
    </w:p>
    <w:p w14:paraId="7DB85F77">
      <w:pPr>
        <w:pStyle w:val="24"/>
        <w:adjustRightInd w:val="0"/>
        <w:snapToGrid w:val="0"/>
        <w:spacing w:line="300" w:lineRule="auto"/>
        <w:ind w:firstLine="359"/>
        <w:rPr>
          <w:rFonts w:hint="eastAsia" w:cs="Times New Roman" w:asciiTheme="minorEastAsia" w:hAnsiTheme="minorEastAsia" w:eastAsiaTheme="minorEastAsia"/>
          <w:sz w:val="28"/>
          <w:szCs w:val="28"/>
        </w:rPr>
      </w:pPr>
    </w:p>
    <w:p w14:paraId="453E36A9">
      <w:pPr>
        <w:pStyle w:val="24"/>
        <w:adjustRightInd w:val="0"/>
        <w:snapToGrid w:val="0"/>
        <w:spacing w:line="300" w:lineRule="auto"/>
        <w:ind w:firstLine="359"/>
        <w:rPr>
          <w:rFonts w:hint="eastAsia" w:cs="Times New Roman" w:asciiTheme="minorEastAsia" w:hAnsiTheme="minorEastAsia" w:eastAsiaTheme="minorEastAsia"/>
          <w:sz w:val="28"/>
          <w:szCs w:val="28"/>
        </w:rPr>
      </w:pPr>
      <w:r>
        <w:rPr>
          <w:rFonts w:hint="eastAsia" w:cs="楷体_GB2312" w:asciiTheme="minorEastAsia" w:hAnsiTheme="minorEastAsia" w:eastAsiaTheme="minorEastAsia"/>
          <w:sz w:val="28"/>
          <w:szCs w:val="28"/>
        </w:rPr>
        <w:t>法定代表人或委托代理人：(签字或盖章）</w:t>
      </w:r>
    </w:p>
    <w:p w14:paraId="484CBBA3">
      <w:pPr>
        <w:pStyle w:val="24"/>
        <w:wordWrap w:val="0"/>
        <w:adjustRightInd w:val="0"/>
        <w:snapToGrid w:val="0"/>
        <w:spacing w:line="300" w:lineRule="auto"/>
        <w:jc w:val="right"/>
        <w:rPr>
          <w:rFonts w:hint="eastAsia" w:cs="楷体_GB2312" w:asciiTheme="minorEastAsia" w:hAnsiTheme="minorEastAsia" w:eastAsiaTheme="minorEastAsia"/>
          <w:sz w:val="24"/>
          <w:szCs w:val="24"/>
        </w:rPr>
      </w:pPr>
    </w:p>
    <w:p w14:paraId="3B88578E">
      <w:pPr>
        <w:pStyle w:val="24"/>
        <w:adjustRightInd w:val="0"/>
        <w:snapToGrid w:val="0"/>
        <w:spacing w:line="300" w:lineRule="auto"/>
        <w:jc w:val="right"/>
        <w:rPr>
          <w:rFonts w:hint="eastAsia" w:cs="楷体_GB2312" w:asciiTheme="minorEastAsia" w:hAnsiTheme="minorEastAsia" w:eastAsiaTheme="minorEastAsia"/>
          <w:sz w:val="24"/>
          <w:szCs w:val="24"/>
        </w:rPr>
      </w:pPr>
    </w:p>
    <w:p w14:paraId="1A35484C">
      <w:pPr>
        <w:pStyle w:val="24"/>
        <w:adjustRightInd w:val="0"/>
        <w:snapToGrid w:val="0"/>
        <w:spacing w:line="300" w:lineRule="auto"/>
        <w:jc w:val="right"/>
        <w:rPr>
          <w:rFonts w:hint="eastAsia" w:cs="楷体_GB2312" w:asciiTheme="minorEastAsia" w:hAnsiTheme="minorEastAsia" w:eastAsiaTheme="minorEastAsia"/>
          <w:sz w:val="24"/>
          <w:szCs w:val="24"/>
        </w:rPr>
      </w:pPr>
    </w:p>
    <w:p w14:paraId="138CF951">
      <w:pPr>
        <w:pStyle w:val="24"/>
        <w:adjustRightInd w:val="0"/>
        <w:snapToGrid w:val="0"/>
        <w:spacing w:line="300" w:lineRule="auto"/>
        <w:jc w:val="right"/>
        <w:rPr>
          <w:rFonts w:hint="eastAsia" w:cs="楷体_GB2312" w:asciiTheme="minorEastAsia" w:hAnsiTheme="minorEastAsia" w:eastAsiaTheme="minorEastAsia"/>
          <w:sz w:val="24"/>
          <w:szCs w:val="24"/>
        </w:rPr>
      </w:pPr>
    </w:p>
    <w:p w14:paraId="04C7A2B0">
      <w:pPr>
        <w:pStyle w:val="24"/>
        <w:adjustRightInd w:val="0"/>
        <w:snapToGrid w:val="0"/>
        <w:spacing w:line="300" w:lineRule="auto"/>
        <w:jc w:val="right"/>
        <w:rPr>
          <w:rFonts w:hint="eastAsia" w:cs="楷体_GB2312" w:asciiTheme="minorEastAsia" w:hAnsiTheme="minorEastAsia" w:eastAsiaTheme="minorEastAsia"/>
          <w:sz w:val="24"/>
          <w:szCs w:val="24"/>
        </w:rPr>
      </w:pPr>
    </w:p>
    <w:p w14:paraId="7EE21F99">
      <w:pPr>
        <w:pStyle w:val="24"/>
        <w:adjustRightInd w:val="0"/>
        <w:snapToGrid w:val="0"/>
        <w:spacing w:line="300" w:lineRule="auto"/>
        <w:jc w:val="right"/>
        <w:rPr>
          <w:rFonts w:hint="eastAsia" w:cs="Times New Roman" w:asciiTheme="minorEastAsia" w:hAnsiTheme="minorEastAsia" w:eastAsiaTheme="minorEastAsia"/>
          <w:sz w:val="28"/>
          <w:szCs w:val="24"/>
        </w:rPr>
      </w:pPr>
      <w:r>
        <w:rPr>
          <w:rFonts w:hint="eastAsia" w:cs="楷体_GB2312" w:asciiTheme="minorEastAsia" w:hAnsiTheme="minorEastAsia" w:eastAsiaTheme="minorEastAsia"/>
          <w:sz w:val="28"/>
          <w:szCs w:val="24"/>
        </w:rPr>
        <w:t>日期：    年    月    日</w:t>
      </w:r>
    </w:p>
    <w:p w14:paraId="0BBD4E60">
      <w:pPr>
        <w:rPr>
          <w:rFonts w:hint="eastAsia" w:asciiTheme="minorEastAsia" w:hAnsiTheme="minorEastAsia" w:eastAsiaTheme="minorEastAsia"/>
          <w:sz w:val="24"/>
          <w:szCs w:val="24"/>
        </w:rPr>
      </w:pPr>
    </w:p>
    <w:p w14:paraId="3C7AD042">
      <w:pPr>
        <w:jc w:val="center"/>
        <w:rPr>
          <w:rFonts w:hint="eastAsia" w:cs="楷体_GB2312" w:asciiTheme="minorEastAsia" w:hAnsiTheme="minorEastAsia" w:eastAsiaTheme="minorEastAsia"/>
          <w:sz w:val="32"/>
          <w:szCs w:val="32"/>
        </w:rPr>
      </w:pPr>
    </w:p>
    <w:tbl>
      <w:tblPr>
        <w:tblStyle w:val="45"/>
        <w:tblW w:w="99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362"/>
        <w:gridCol w:w="3774"/>
        <w:gridCol w:w="555"/>
        <w:gridCol w:w="600"/>
        <w:gridCol w:w="1140"/>
        <w:gridCol w:w="993"/>
        <w:gridCol w:w="1109"/>
      </w:tblGrid>
      <w:tr w14:paraId="4FBA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80" w:type="dxa"/>
            <w:gridSpan w:val="8"/>
            <w:tcBorders>
              <w:tl2br w:val="nil"/>
              <w:tr2bl w:val="nil"/>
            </w:tcBorders>
            <w:vAlign w:val="center"/>
          </w:tcPr>
          <w:p w14:paraId="764CB2E7">
            <w:pPr>
              <w:widowControl/>
              <w:jc w:val="center"/>
              <w:textAlignment w:val="center"/>
              <w:rPr>
                <w:rFonts w:hint="eastAsia" w:ascii="宋体" w:hAnsi="宋体" w:cs="宋体"/>
                <w:b/>
                <w:bCs/>
                <w:color w:val="000000"/>
                <w:sz w:val="32"/>
                <w:szCs w:val="32"/>
              </w:rPr>
            </w:pPr>
            <w:bookmarkStart w:id="546" w:name="OLE_LINK1"/>
            <w:bookmarkStart w:id="547" w:name="OLE_LINK2"/>
            <w:r>
              <w:rPr>
                <w:rFonts w:hint="eastAsia" w:ascii="宋体" w:hAnsi="宋体" w:cs="宋体"/>
                <w:b/>
                <w:bCs/>
                <w:color w:val="000000"/>
                <w:sz w:val="32"/>
                <w:szCs w:val="32"/>
              </w:rPr>
              <w:t>报价表</w:t>
            </w:r>
          </w:p>
        </w:tc>
      </w:tr>
      <w:tr w14:paraId="0872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dxa"/>
            <w:vMerge w:val="restart"/>
            <w:tcBorders>
              <w:tl2br w:val="nil"/>
              <w:tr2bl w:val="nil"/>
            </w:tcBorders>
            <w:vAlign w:val="center"/>
          </w:tcPr>
          <w:p w14:paraId="6936669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序号</w:t>
            </w:r>
          </w:p>
        </w:tc>
        <w:tc>
          <w:tcPr>
            <w:tcW w:w="1362" w:type="dxa"/>
            <w:vMerge w:val="restart"/>
            <w:tcBorders>
              <w:tl2br w:val="nil"/>
              <w:tr2bl w:val="nil"/>
            </w:tcBorders>
            <w:vAlign w:val="center"/>
          </w:tcPr>
          <w:p w14:paraId="09136CD4">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设备材料名称</w:t>
            </w:r>
          </w:p>
        </w:tc>
        <w:tc>
          <w:tcPr>
            <w:tcW w:w="3774" w:type="dxa"/>
            <w:vMerge w:val="restart"/>
            <w:tcBorders>
              <w:tl2br w:val="nil"/>
              <w:tr2bl w:val="nil"/>
            </w:tcBorders>
            <w:vAlign w:val="center"/>
          </w:tcPr>
          <w:p w14:paraId="0A06637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技术参数</w:t>
            </w:r>
          </w:p>
        </w:tc>
        <w:tc>
          <w:tcPr>
            <w:tcW w:w="555" w:type="dxa"/>
            <w:vMerge w:val="restart"/>
            <w:tcBorders>
              <w:tl2br w:val="nil"/>
              <w:tr2bl w:val="nil"/>
            </w:tcBorders>
            <w:vAlign w:val="center"/>
          </w:tcPr>
          <w:p w14:paraId="00796C5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单位</w:t>
            </w:r>
          </w:p>
        </w:tc>
        <w:tc>
          <w:tcPr>
            <w:tcW w:w="600" w:type="dxa"/>
            <w:vMerge w:val="restart"/>
            <w:tcBorders>
              <w:tl2br w:val="nil"/>
              <w:tr2bl w:val="nil"/>
            </w:tcBorders>
            <w:vAlign w:val="center"/>
          </w:tcPr>
          <w:p w14:paraId="1A28BB4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数量</w:t>
            </w:r>
          </w:p>
        </w:tc>
        <w:tc>
          <w:tcPr>
            <w:tcW w:w="1140" w:type="dxa"/>
            <w:vMerge w:val="restart"/>
            <w:tcBorders>
              <w:tl2br w:val="nil"/>
              <w:tr2bl w:val="nil"/>
            </w:tcBorders>
            <w:vAlign w:val="center"/>
          </w:tcPr>
          <w:p w14:paraId="5B9E292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综合单价（元）</w:t>
            </w:r>
          </w:p>
        </w:tc>
        <w:tc>
          <w:tcPr>
            <w:tcW w:w="993" w:type="dxa"/>
            <w:vMerge w:val="restart"/>
            <w:tcBorders>
              <w:tl2br w:val="nil"/>
              <w:tr2bl w:val="nil"/>
            </w:tcBorders>
            <w:vAlign w:val="center"/>
          </w:tcPr>
          <w:p w14:paraId="130D9BAE">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合价（元）</w:t>
            </w:r>
          </w:p>
        </w:tc>
        <w:tc>
          <w:tcPr>
            <w:tcW w:w="1109" w:type="dxa"/>
            <w:vMerge w:val="restart"/>
            <w:tcBorders>
              <w:tl2br w:val="nil"/>
              <w:tr2bl w:val="nil"/>
            </w:tcBorders>
            <w:vAlign w:val="center"/>
          </w:tcPr>
          <w:p w14:paraId="2C83AEA7">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备注</w:t>
            </w:r>
          </w:p>
        </w:tc>
      </w:tr>
      <w:tr w14:paraId="76EC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7" w:type="dxa"/>
            <w:vMerge w:val="continue"/>
            <w:tcBorders>
              <w:tl2br w:val="nil"/>
              <w:tr2bl w:val="nil"/>
            </w:tcBorders>
            <w:vAlign w:val="center"/>
          </w:tcPr>
          <w:p w14:paraId="17587040">
            <w:pPr>
              <w:jc w:val="center"/>
              <w:rPr>
                <w:rFonts w:hint="eastAsia" w:ascii="宋体" w:hAnsi="宋体" w:cs="宋体"/>
                <w:b/>
                <w:bCs/>
                <w:color w:val="000000"/>
                <w:sz w:val="20"/>
                <w:szCs w:val="20"/>
              </w:rPr>
            </w:pPr>
          </w:p>
        </w:tc>
        <w:tc>
          <w:tcPr>
            <w:tcW w:w="1362" w:type="dxa"/>
            <w:vMerge w:val="continue"/>
            <w:tcBorders>
              <w:tl2br w:val="nil"/>
              <w:tr2bl w:val="nil"/>
            </w:tcBorders>
            <w:vAlign w:val="center"/>
          </w:tcPr>
          <w:p w14:paraId="62F48E8C">
            <w:pPr>
              <w:jc w:val="center"/>
              <w:rPr>
                <w:rFonts w:hint="eastAsia" w:ascii="宋体" w:hAnsi="宋体" w:cs="宋体"/>
                <w:b/>
                <w:bCs/>
                <w:color w:val="000000"/>
                <w:sz w:val="20"/>
                <w:szCs w:val="20"/>
              </w:rPr>
            </w:pPr>
          </w:p>
        </w:tc>
        <w:tc>
          <w:tcPr>
            <w:tcW w:w="3774" w:type="dxa"/>
            <w:vMerge w:val="continue"/>
            <w:tcBorders>
              <w:tl2br w:val="nil"/>
              <w:tr2bl w:val="nil"/>
            </w:tcBorders>
            <w:vAlign w:val="center"/>
          </w:tcPr>
          <w:p w14:paraId="28EB1CA5">
            <w:pPr>
              <w:jc w:val="center"/>
              <w:rPr>
                <w:rFonts w:hint="eastAsia" w:ascii="宋体" w:hAnsi="宋体" w:cs="宋体"/>
                <w:b/>
                <w:bCs/>
                <w:color w:val="000000"/>
                <w:sz w:val="20"/>
                <w:szCs w:val="20"/>
              </w:rPr>
            </w:pPr>
          </w:p>
        </w:tc>
        <w:tc>
          <w:tcPr>
            <w:tcW w:w="555" w:type="dxa"/>
            <w:vMerge w:val="continue"/>
            <w:tcBorders>
              <w:tl2br w:val="nil"/>
              <w:tr2bl w:val="nil"/>
            </w:tcBorders>
            <w:vAlign w:val="center"/>
          </w:tcPr>
          <w:p w14:paraId="5FCC5264">
            <w:pPr>
              <w:jc w:val="center"/>
              <w:rPr>
                <w:rFonts w:hint="eastAsia" w:ascii="宋体" w:hAnsi="宋体" w:cs="宋体"/>
                <w:b/>
                <w:bCs/>
                <w:color w:val="000000"/>
                <w:sz w:val="20"/>
                <w:szCs w:val="20"/>
              </w:rPr>
            </w:pPr>
          </w:p>
        </w:tc>
        <w:tc>
          <w:tcPr>
            <w:tcW w:w="600" w:type="dxa"/>
            <w:vMerge w:val="continue"/>
            <w:tcBorders>
              <w:tl2br w:val="nil"/>
              <w:tr2bl w:val="nil"/>
            </w:tcBorders>
            <w:vAlign w:val="center"/>
          </w:tcPr>
          <w:p w14:paraId="4A89094C">
            <w:pPr>
              <w:jc w:val="center"/>
              <w:rPr>
                <w:rFonts w:hint="eastAsia" w:ascii="宋体" w:hAnsi="宋体" w:cs="宋体"/>
                <w:b/>
                <w:bCs/>
                <w:color w:val="000000"/>
                <w:sz w:val="20"/>
                <w:szCs w:val="20"/>
              </w:rPr>
            </w:pPr>
          </w:p>
        </w:tc>
        <w:tc>
          <w:tcPr>
            <w:tcW w:w="1140" w:type="dxa"/>
            <w:vMerge w:val="continue"/>
            <w:tcBorders>
              <w:tl2br w:val="nil"/>
              <w:tr2bl w:val="nil"/>
            </w:tcBorders>
            <w:vAlign w:val="center"/>
          </w:tcPr>
          <w:p w14:paraId="4BBF4B5C">
            <w:pPr>
              <w:jc w:val="center"/>
              <w:rPr>
                <w:rFonts w:hint="eastAsia" w:ascii="宋体" w:hAnsi="宋体" w:cs="宋体"/>
                <w:b/>
                <w:bCs/>
                <w:color w:val="000000"/>
                <w:sz w:val="20"/>
                <w:szCs w:val="20"/>
              </w:rPr>
            </w:pPr>
          </w:p>
        </w:tc>
        <w:tc>
          <w:tcPr>
            <w:tcW w:w="993" w:type="dxa"/>
            <w:vMerge w:val="continue"/>
            <w:tcBorders>
              <w:tl2br w:val="nil"/>
              <w:tr2bl w:val="nil"/>
            </w:tcBorders>
            <w:vAlign w:val="center"/>
          </w:tcPr>
          <w:p w14:paraId="0CDC062A">
            <w:pPr>
              <w:jc w:val="center"/>
              <w:rPr>
                <w:rFonts w:hint="eastAsia" w:ascii="宋体" w:hAnsi="宋体" w:cs="宋体"/>
                <w:b/>
                <w:bCs/>
                <w:color w:val="000000"/>
                <w:sz w:val="20"/>
                <w:szCs w:val="20"/>
              </w:rPr>
            </w:pPr>
          </w:p>
        </w:tc>
        <w:tc>
          <w:tcPr>
            <w:tcW w:w="1109" w:type="dxa"/>
            <w:vMerge w:val="continue"/>
            <w:tcBorders>
              <w:tl2br w:val="nil"/>
              <w:tr2bl w:val="nil"/>
            </w:tcBorders>
            <w:vAlign w:val="center"/>
          </w:tcPr>
          <w:p w14:paraId="24521C07">
            <w:pPr>
              <w:jc w:val="center"/>
              <w:rPr>
                <w:rFonts w:hint="eastAsia" w:ascii="宋体" w:hAnsi="宋体" w:cs="宋体"/>
                <w:b/>
                <w:bCs/>
                <w:color w:val="000000"/>
                <w:sz w:val="20"/>
                <w:szCs w:val="20"/>
              </w:rPr>
            </w:pPr>
          </w:p>
        </w:tc>
      </w:tr>
      <w:tr w14:paraId="6AA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47" w:type="dxa"/>
            <w:tcBorders>
              <w:tl2br w:val="nil"/>
              <w:tr2bl w:val="nil"/>
            </w:tcBorders>
            <w:vAlign w:val="center"/>
          </w:tcPr>
          <w:p w14:paraId="467524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362" w:type="dxa"/>
            <w:tcBorders>
              <w:tl2br w:val="nil"/>
              <w:tr2bl w:val="nil"/>
            </w:tcBorders>
            <w:vAlign w:val="center"/>
          </w:tcPr>
          <w:p w14:paraId="038FD35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监控机柜22U</w:t>
            </w:r>
          </w:p>
        </w:tc>
        <w:tc>
          <w:tcPr>
            <w:tcW w:w="3774" w:type="dxa"/>
            <w:tcBorders>
              <w:tl2br w:val="nil"/>
              <w:tr2bl w:val="nil"/>
            </w:tcBorders>
            <w:vAlign w:val="center"/>
          </w:tcPr>
          <w:p w14:paraId="3BFEEA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标准机柜600mm*600mm*1200mm（国标优质钢板、含电源板）</w:t>
            </w:r>
          </w:p>
        </w:tc>
        <w:tc>
          <w:tcPr>
            <w:tcW w:w="555" w:type="dxa"/>
            <w:tcBorders>
              <w:tl2br w:val="nil"/>
              <w:tr2bl w:val="nil"/>
            </w:tcBorders>
            <w:vAlign w:val="center"/>
          </w:tcPr>
          <w:p w14:paraId="5C0814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37079D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140" w:type="dxa"/>
            <w:tcBorders>
              <w:tl2br w:val="nil"/>
              <w:tr2bl w:val="nil"/>
            </w:tcBorders>
            <w:vAlign w:val="center"/>
          </w:tcPr>
          <w:p w14:paraId="719492FD">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501E7BEF">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764A57BD">
            <w:pPr>
              <w:jc w:val="center"/>
              <w:rPr>
                <w:rFonts w:hint="eastAsia" w:ascii="宋体" w:hAnsi="宋体" w:cs="宋体"/>
                <w:color w:val="000000"/>
                <w:sz w:val="20"/>
                <w:szCs w:val="20"/>
              </w:rPr>
            </w:pPr>
          </w:p>
        </w:tc>
      </w:tr>
      <w:tr w14:paraId="6F0B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447" w:type="dxa"/>
            <w:tcBorders>
              <w:tl2br w:val="nil"/>
              <w:tr2bl w:val="nil"/>
            </w:tcBorders>
            <w:vAlign w:val="center"/>
          </w:tcPr>
          <w:p w14:paraId="0054981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362" w:type="dxa"/>
            <w:tcBorders>
              <w:tl2br w:val="nil"/>
              <w:tr2bl w:val="nil"/>
            </w:tcBorders>
            <w:vAlign w:val="center"/>
          </w:tcPr>
          <w:p w14:paraId="14B491B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网络硬盘录像机（32路）</w:t>
            </w:r>
          </w:p>
        </w:tc>
        <w:tc>
          <w:tcPr>
            <w:tcW w:w="3774" w:type="dxa"/>
            <w:tcBorders>
              <w:tl2br w:val="nil"/>
              <w:tr2bl w:val="nil"/>
            </w:tcBorders>
            <w:vAlign w:val="center"/>
          </w:tcPr>
          <w:p w14:paraId="231F23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1.视频输出接口:2个VGA  2个HDMI；</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2.音频输出接口:2路RCA接口；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3.压缩格式: H.Smart265；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4.监控摄像头路数: 32；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5.视频输入接口: 2个适应千兆网口；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6.8个SATA硬盘接口，每个最大容量10TB；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7.录像管理：具有手动、定时录像，移动侦测录像、报警；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8.支持800万像素，4K高清输出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9.不限于以上要求的其它性能</w:t>
            </w:r>
          </w:p>
        </w:tc>
        <w:tc>
          <w:tcPr>
            <w:tcW w:w="555" w:type="dxa"/>
            <w:tcBorders>
              <w:tl2br w:val="nil"/>
              <w:tr2bl w:val="nil"/>
            </w:tcBorders>
            <w:vAlign w:val="center"/>
          </w:tcPr>
          <w:p w14:paraId="283A49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54C6E2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140" w:type="dxa"/>
            <w:tcBorders>
              <w:tl2br w:val="nil"/>
              <w:tr2bl w:val="nil"/>
            </w:tcBorders>
            <w:vAlign w:val="center"/>
          </w:tcPr>
          <w:p w14:paraId="6EDB748A">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4924B9AA">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4714765E">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品牌：海康威视或同等档次</w:t>
            </w:r>
          </w:p>
        </w:tc>
      </w:tr>
      <w:tr w14:paraId="1181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71BE3C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362" w:type="dxa"/>
            <w:tcBorders>
              <w:tl2br w:val="nil"/>
              <w:tr2bl w:val="nil"/>
            </w:tcBorders>
            <w:vAlign w:val="center"/>
          </w:tcPr>
          <w:p w14:paraId="3ACABC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数据硬盘</w:t>
            </w:r>
          </w:p>
        </w:tc>
        <w:tc>
          <w:tcPr>
            <w:tcW w:w="3774" w:type="dxa"/>
            <w:tcBorders>
              <w:tl2br w:val="nil"/>
              <w:tr2bl w:val="nil"/>
            </w:tcBorders>
            <w:vAlign w:val="center"/>
          </w:tcPr>
          <w:p w14:paraId="437A593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6T硬盘，3.5英寸、监控级、转速: 7200转</w:t>
            </w:r>
          </w:p>
        </w:tc>
        <w:tc>
          <w:tcPr>
            <w:tcW w:w="555" w:type="dxa"/>
            <w:tcBorders>
              <w:tl2br w:val="nil"/>
              <w:tr2bl w:val="nil"/>
            </w:tcBorders>
            <w:vAlign w:val="center"/>
          </w:tcPr>
          <w:p w14:paraId="1DE68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块</w:t>
            </w:r>
          </w:p>
        </w:tc>
        <w:tc>
          <w:tcPr>
            <w:tcW w:w="600" w:type="dxa"/>
            <w:tcBorders>
              <w:tl2br w:val="nil"/>
              <w:tr2bl w:val="nil"/>
            </w:tcBorders>
            <w:vAlign w:val="center"/>
          </w:tcPr>
          <w:p w14:paraId="212FF8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40</w:t>
            </w:r>
          </w:p>
        </w:tc>
        <w:tc>
          <w:tcPr>
            <w:tcW w:w="1140" w:type="dxa"/>
            <w:tcBorders>
              <w:tl2br w:val="nil"/>
              <w:tr2bl w:val="nil"/>
            </w:tcBorders>
            <w:vAlign w:val="center"/>
          </w:tcPr>
          <w:p w14:paraId="5E49E646">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3A3FDD07">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44FCE896">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品牌：海康威视或同等档次</w:t>
            </w:r>
          </w:p>
        </w:tc>
      </w:tr>
      <w:tr w14:paraId="77BF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0C5FDE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362" w:type="dxa"/>
            <w:tcBorders>
              <w:tl2br w:val="nil"/>
              <w:tr2bl w:val="nil"/>
            </w:tcBorders>
            <w:vAlign w:val="center"/>
          </w:tcPr>
          <w:p w14:paraId="3C39B8C0">
            <w:pPr>
              <w:widowControl/>
              <w:jc w:val="center"/>
              <w:textAlignment w:val="center"/>
              <w:rPr>
                <w:rFonts w:hint="eastAsia" w:ascii="宋体" w:hAnsi="宋体" w:cs="宋体"/>
                <w:color w:val="000000"/>
                <w:sz w:val="20"/>
                <w:szCs w:val="20"/>
              </w:rPr>
            </w:pPr>
            <w:bookmarkStart w:id="548" w:name="OLE_LINK9"/>
            <w:bookmarkStart w:id="549" w:name="OLE_LINK10"/>
            <w:r>
              <w:rPr>
                <w:rFonts w:hint="eastAsia" w:ascii="宋体" w:hAnsi="宋体" w:cs="宋体"/>
                <w:color w:val="000000"/>
                <w:kern w:val="0"/>
                <w:sz w:val="20"/>
                <w:szCs w:val="20"/>
              </w:rPr>
              <w:t>监视器</w:t>
            </w:r>
            <w:bookmarkEnd w:id="548"/>
            <w:bookmarkEnd w:id="549"/>
          </w:p>
        </w:tc>
        <w:tc>
          <w:tcPr>
            <w:tcW w:w="3774" w:type="dxa"/>
            <w:tcBorders>
              <w:tl2br w:val="nil"/>
              <w:tr2bl w:val="nil"/>
            </w:tcBorders>
            <w:vAlign w:val="center"/>
          </w:tcPr>
          <w:p w14:paraId="11FD9CAF">
            <w:pPr>
              <w:widowControl/>
              <w:jc w:val="center"/>
              <w:textAlignment w:val="center"/>
              <w:rPr>
                <w:rFonts w:hint="eastAsia" w:ascii="宋体" w:hAnsi="宋体" w:cs="宋体"/>
                <w:color w:val="000000"/>
                <w:sz w:val="20"/>
                <w:szCs w:val="20"/>
              </w:rPr>
            </w:pPr>
            <w:bookmarkStart w:id="550" w:name="OLE_LINK11"/>
            <w:bookmarkStart w:id="551" w:name="OLE_LINK12"/>
            <w:r>
              <w:rPr>
                <w:rFonts w:hint="eastAsia" w:ascii="宋体" w:hAnsi="宋体" w:cs="宋体"/>
                <w:color w:val="000000"/>
                <w:kern w:val="0"/>
                <w:sz w:val="20"/>
                <w:szCs w:val="20"/>
              </w:rPr>
              <w:t>24寸4K高清桌面显示器、屏幕分辨率 1920x1080像素；</w:t>
            </w:r>
            <w:bookmarkEnd w:id="550"/>
            <w:bookmarkEnd w:id="551"/>
          </w:p>
        </w:tc>
        <w:tc>
          <w:tcPr>
            <w:tcW w:w="555" w:type="dxa"/>
            <w:tcBorders>
              <w:tl2br w:val="nil"/>
              <w:tr2bl w:val="nil"/>
            </w:tcBorders>
            <w:vAlign w:val="center"/>
          </w:tcPr>
          <w:p w14:paraId="48BEFE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7F7685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140" w:type="dxa"/>
            <w:tcBorders>
              <w:tl2br w:val="nil"/>
              <w:tr2bl w:val="nil"/>
            </w:tcBorders>
            <w:vAlign w:val="center"/>
          </w:tcPr>
          <w:p w14:paraId="01DA09EC">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3BC12CC3">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2C36A07F">
            <w:pPr>
              <w:jc w:val="center"/>
              <w:rPr>
                <w:rFonts w:hint="eastAsia" w:ascii="宋体" w:hAnsi="宋体" w:cs="宋体"/>
                <w:color w:val="000000"/>
                <w:sz w:val="20"/>
                <w:szCs w:val="20"/>
              </w:rPr>
            </w:pPr>
          </w:p>
        </w:tc>
      </w:tr>
      <w:tr w14:paraId="2360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7B2A1408">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362" w:type="dxa"/>
            <w:tcBorders>
              <w:tl2br w:val="nil"/>
              <w:tr2bl w:val="nil"/>
            </w:tcBorders>
            <w:vAlign w:val="center"/>
          </w:tcPr>
          <w:p w14:paraId="264B98A8">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3774" w:type="dxa"/>
            <w:tcBorders>
              <w:tl2br w:val="nil"/>
              <w:tr2bl w:val="nil"/>
            </w:tcBorders>
            <w:vAlign w:val="center"/>
          </w:tcPr>
          <w:p w14:paraId="11D98BEE">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55寸4K高清、屏幕分辨率 1920x1080像素；配挂架</w:t>
            </w:r>
          </w:p>
        </w:tc>
        <w:tc>
          <w:tcPr>
            <w:tcW w:w="555" w:type="dxa"/>
            <w:tcBorders>
              <w:tl2br w:val="nil"/>
              <w:tr2bl w:val="nil"/>
            </w:tcBorders>
            <w:vAlign w:val="center"/>
          </w:tcPr>
          <w:p w14:paraId="5629E397">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6E8AA2F5">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140" w:type="dxa"/>
            <w:tcBorders>
              <w:tl2br w:val="nil"/>
              <w:tr2bl w:val="nil"/>
            </w:tcBorders>
            <w:vAlign w:val="center"/>
          </w:tcPr>
          <w:p w14:paraId="2C9A9937">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796E8A62">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4A4CC03F">
            <w:pPr>
              <w:jc w:val="center"/>
              <w:rPr>
                <w:rFonts w:hint="eastAsia" w:ascii="宋体" w:hAnsi="宋体" w:cs="宋体"/>
                <w:color w:val="000000"/>
                <w:sz w:val="20"/>
                <w:szCs w:val="20"/>
              </w:rPr>
            </w:pPr>
          </w:p>
        </w:tc>
      </w:tr>
      <w:tr w14:paraId="7945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52BB2A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362" w:type="dxa"/>
            <w:tcBorders>
              <w:tl2br w:val="nil"/>
              <w:tr2bl w:val="nil"/>
            </w:tcBorders>
            <w:vAlign w:val="center"/>
          </w:tcPr>
          <w:p w14:paraId="70614D2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光纤服务器 OLT</w:t>
            </w:r>
          </w:p>
        </w:tc>
        <w:tc>
          <w:tcPr>
            <w:tcW w:w="3774" w:type="dxa"/>
            <w:tcBorders>
              <w:tl2br w:val="nil"/>
              <w:tr2bl w:val="nil"/>
            </w:tcBorders>
            <w:vAlign w:val="center"/>
          </w:tcPr>
          <w:p w14:paraId="67BE11E9">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4个1000M/100M SFP/PON复用光口，16个10/100/1000M电口，2个万兆SFP+光口</w:t>
            </w:r>
          </w:p>
        </w:tc>
        <w:tc>
          <w:tcPr>
            <w:tcW w:w="555" w:type="dxa"/>
            <w:tcBorders>
              <w:tl2br w:val="nil"/>
              <w:tr2bl w:val="nil"/>
            </w:tcBorders>
            <w:vAlign w:val="center"/>
          </w:tcPr>
          <w:p w14:paraId="46ADA0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1B7D9B4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140" w:type="dxa"/>
            <w:tcBorders>
              <w:tl2br w:val="nil"/>
              <w:tr2bl w:val="nil"/>
            </w:tcBorders>
            <w:vAlign w:val="center"/>
          </w:tcPr>
          <w:p w14:paraId="482E7004">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0DC9110B">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13E6EA1F">
            <w:pPr>
              <w:jc w:val="center"/>
              <w:rPr>
                <w:rFonts w:hint="eastAsia" w:ascii="宋体" w:hAnsi="宋体" w:cs="宋体"/>
                <w:color w:val="000000"/>
                <w:sz w:val="20"/>
                <w:szCs w:val="20"/>
              </w:rPr>
            </w:pPr>
          </w:p>
        </w:tc>
      </w:tr>
      <w:tr w14:paraId="5678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47" w:type="dxa"/>
            <w:tcBorders>
              <w:tl2br w:val="nil"/>
              <w:tr2bl w:val="nil"/>
            </w:tcBorders>
            <w:vAlign w:val="center"/>
          </w:tcPr>
          <w:p w14:paraId="5B99CE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c>
          <w:tcPr>
            <w:tcW w:w="1362" w:type="dxa"/>
            <w:tcBorders>
              <w:tl2br w:val="nil"/>
              <w:tr2bl w:val="nil"/>
            </w:tcBorders>
            <w:vAlign w:val="center"/>
          </w:tcPr>
          <w:p w14:paraId="1413DA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PON模块</w:t>
            </w:r>
          </w:p>
        </w:tc>
        <w:tc>
          <w:tcPr>
            <w:tcW w:w="3774" w:type="dxa"/>
            <w:tcBorders>
              <w:tl2br w:val="nil"/>
              <w:tr2bl w:val="nil"/>
            </w:tcBorders>
            <w:vAlign w:val="center"/>
          </w:tcPr>
          <w:p w14:paraId="74DF5E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EPON-OLT-PX20+</w:t>
            </w:r>
          </w:p>
        </w:tc>
        <w:tc>
          <w:tcPr>
            <w:tcW w:w="555" w:type="dxa"/>
            <w:tcBorders>
              <w:tl2br w:val="nil"/>
              <w:tr2bl w:val="nil"/>
            </w:tcBorders>
            <w:vAlign w:val="center"/>
          </w:tcPr>
          <w:p w14:paraId="5E14D7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6D79FC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140" w:type="dxa"/>
            <w:tcBorders>
              <w:tl2br w:val="nil"/>
              <w:tr2bl w:val="nil"/>
            </w:tcBorders>
            <w:vAlign w:val="center"/>
          </w:tcPr>
          <w:p w14:paraId="04EB5B9A">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2467AF59">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140F246A">
            <w:pPr>
              <w:jc w:val="center"/>
              <w:rPr>
                <w:rFonts w:hint="eastAsia" w:ascii="宋体" w:hAnsi="宋体" w:cs="宋体"/>
                <w:color w:val="000000"/>
                <w:sz w:val="20"/>
                <w:szCs w:val="20"/>
              </w:rPr>
            </w:pPr>
          </w:p>
        </w:tc>
      </w:tr>
      <w:tr w14:paraId="7D46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47" w:type="dxa"/>
            <w:tcBorders>
              <w:tl2br w:val="nil"/>
              <w:tr2bl w:val="nil"/>
            </w:tcBorders>
            <w:vAlign w:val="center"/>
          </w:tcPr>
          <w:p w14:paraId="0CF926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w:t>
            </w:r>
          </w:p>
        </w:tc>
        <w:tc>
          <w:tcPr>
            <w:tcW w:w="1362" w:type="dxa"/>
            <w:tcBorders>
              <w:tl2br w:val="nil"/>
              <w:tr2bl w:val="nil"/>
            </w:tcBorders>
            <w:vAlign w:val="center"/>
          </w:tcPr>
          <w:p w14:paraId="47B18F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1:16分光器</w:t>
            </w:r>
          </w:p>
        </w:tc>
        <w:tc>
          <w:tcPr>
            <w:tcW w:w="3774" w:type="dxa"/>
            <w:tcBorders>
              <w:tl2br w:val="nil"/>
              <w:tr2bl w:val="nil"/>
            </w:tcBorders>
            <w:vAlign w:val="center"/>
          </w:tcPr>
          <w:p w14:paraId="18E636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分光器 PLC 插卡式 1分16 SC/PC</w:t>
            </w:r>
          </w:p>
        </w:tc>
        <w:tc>
          <w:tcPr>
            <w:tcW w:w="555" w:type="dxa"/>
            <w:tcBorders>
              <w:tl2br w:val="nil"/>
              <w:tr2bl w:val="nil"/>
            </w:tcBorders>
            <w:vAlign w:val="center"/>
          </w:tcPr>
          <w:p w14:paraId="00C6D8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375100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140" w:type="dxa"/>
            <w:tcBorders>
              <w:tl2br w:val="nil"/>
              <w:tr2bl w:val="nil"/>
            </w:tcBorders>
            <w:vAlign w:val="center"/>
          </w:tcPr>
          <w:p w14:paraId="3E1D0430">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1338052A">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3BE9E91A">
            <w:pPr>
              <w:jc w:val="center"/>
              <w:rPr>
                <w:rFonts w:hint="eastAsia" w:ascii="宋体" w:hAnsi="宋体" w:cs="宋体"/>
                <w:color w:val="000000"/>
                <w:sz w:val="20"/>
                <w:szCs w:val="20"/>
              </w:rPr>
            </w:pPr>
          </w:p>
        </w:tc>
      </w:tr>
      <w:tr w14:paraId="013E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47" w:type="dxa"/>
            <w:tcBorders>
              <w:tl2br w:val="nil"/>
              <w:tr2bl w:val="nil"/>
            </w:tcBorders>
            <w:vAlign w:val="center"/>
          </w:tcPr>
          <w:p w14:paraId="2F088D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9</w:t>
            </w:r>
          </w:p>
        </w:tc>
        <w:tc>
          <w:tcPr>
            <w:tcW w:w="1362" w:type="dxa"/>
            <w:tcBorders>
              <w:tl2br w:val="nil"/>
              <w:tr2bl w:val="nil"/>
            </w:tcBorders>
            <w:vAlign w:val="center"/>
          </w:tcPr>
          <w:p w14:paraId="08E206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电梯监控专用无线网桥</w:t>
            </w:r>
          </w:p>
        </w:tc>
        <w:tc>
          <w:tcPr>
            <w:tcW w:w="3774" w:type="dxa"/>
            <w:tcBorders>
              <w:tl2br w:val="nil"/>
              <w:tr2bl w:val="nil"/>
            </w:tcBorders>
          </w:tcPr>
          <w:p w14:paraId="367C64C3">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rPr>
              <w:t>1.工作频段：5.8GHz；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2.最远传输距离：500米；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3.供电方式：配直流12V电源 /被动POE供电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4.组网方式：点对点（1对）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5.即插即用</w:t>
            </w:r>
          </w:p>
        </w:tc>
        <w:tc>
          <w:tcPr>
            <w:tcW w:w="555" w:type="dxa"/>
            <w:tcBorders>
              <w:tl2br w:val="nil"/>
              <w:tr2bl w:val="nil"/>
            </w:tcBorders>
            <w:vAlign w:val="center"/>
          </w:tcPr>
          <w:p w14:paraId="645FE3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对</w:t>
            </w:r>
          </w:p>
        </w:tc>
        <w:tc>
          <w:tcPr>
            <w:tcW w:w="600" w:type="dxa"/>
            <w:tcBorders>
              <w:tl2br w:val="nil"/>
              <w:tr2bl w:val="nil"/>
            </w:tcBorders>
            <w:vAlign w:val="center"/>
          </w:tcPr>
          <w:p w14:paraId="7692F06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51</w:t>
            </w:r>
          </w:p>
        </w:tc>
        <w:tc>
          <w:tcPr>
            <w:tcW w:w="1140" w:type="dxa"/>
            <w:tcBorders>
              <w:tl2br w:val="nil"/>
              <w:tr2bl w:val="nil"/>
            </w:tcBorders>
            <w:vAlign w:val="center"/>
          </w:tcPr>
          <w:p w14:paraId="0C25D181">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20958B46">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0CD71E72">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品牌：锐捷或同等档次，含电梯方配合费</w:t>
            </w:r>
          </w:p>
        </w:tc>
      </w:tr>
      <w:tr w14:paraId="7761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447" w:type="dxa"/>
            <w:tcBorders>
              <w:tl2br w:val="nil"/>
              <w:tr2bl w:val="nil"/>
            </w:tcBorders>
            <w:vAlign w:val="center"/>
          </w:tcPr>
          <w:p w14:paraId="549CEF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w:t>
            </w:r>
          </w:p>
        </w:tc>
        <w:tc>
          <w:tcPr>
            <w:tcW w:w="1362" w:type="dxa"/>
            <w:tcBorders>
              <w:tl2br w:val="nil"/>
              <w:tr2bl w:val="nil"/>
            </w:tcBorders>
            <w:vAlign w:val="center"/>
          </w:tcPr>
          <w:p w14:paraId="3C03ED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室外星光级网络枪式监控头</w:t>
            </w:r>
          </w:p>
        </w:tc>
        <w:tc>
          <w:tcPr>
            <w:tcW w:w="3774" w:type="dxa"/>
            <w:tcBorders>
              <w:tl2br w:val="nil"/>
              <w:tr2bl w:val="nil"/>
            </w:tcBorders>
            <w:vAlign w:val="center"/>
          </w:tcPr>
          <w:p w14:paraId="1813FB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1.室外枪式防水型；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2.poe供电；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3.清晰度4MP/400万像素；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4.日夜全彩≥30米、红外线≥50m；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5.IP66（67）防护；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6.H265、宽动态；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7.区域入侵报警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8.集距4mm~12mm根据现场需要订购</w:t>
            </w:r>
          </w:p>
        </w:tc>
        <w:tc>
          <w:tcPr>
            <w:tcW w:w="555" w:type="dxa"/>
            <w:tcBorders>
              <w:tl2br w:val="nil"/>
              <w:tr2bl w:val="nil"/>
            </w:tcBorders>
            <w:vAlign w:val="center"/>
          </w:tcPr>
          <w:p w14:paraId="4CA66F3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47C07F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109</w:t>
            </w:r>
          </w:p>
        </w:tc>
        <w:tc>
          <w:tcPr>
            <w:tcW w:w="1140" w:type="dxa"/>
            <w:tcBorders>
              <w:tl2br w:val="nil"/>
              <w:tr2bl w:val="nil"/>
            </w:tcBorders>
            <w:vAlign w:val="center"/>
          </w:tcPr>
          <w:p w14:paraId="0FC848F8">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75D7FF1C">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7B9112AB">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品牌：海康威视或同等档次</w:t>
            </w:r>
          </w:p>
        </w:tc>
      </w:tr>
      <w:tr w14:paraId="312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447" w:type="dxa"/>
            <w:tcBorders>
              <w:tl2br w:val="nil"/>
              <w:tr2bl w:val="nil"/>
            </w:tcBorders>
            <w:vAlign w:val="center"/>
          </w:tcPr>
          <w:p w14:paraId="038A86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11</w:t>
            </w:r>
          </w:p>
        </w:tc>
        <w:tc>
          <w:tcPr>
            <w:tcW w:w="1362" w:type="dxa"/>
            <w:tcBorders>
              <w:tl2br w:val="nil"/>
              <w:tr2bl w:val="nil"/>
            </w:tcBorders>
            <w:vAlign w:val="center"/>
          </w:tcPr>
          <w:p w14:paraId="7ADE12D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电梯专用网络高清半球监控头</w:t>
            </w:r>
          </w:p>
        </w:tc>
        <w:tc>
          <w:tcPr>
            <w:tcW w:w="3774" w:type="dxa"/>
            <w:tcBorders>
              <w:tl2br w:val="nil"/>
              <w:tr2bl w:val="nil"/>
            </w:tcBorders>
            <w:vAlign w:val="center"/>
          </w:tcPr>
          <w:p w14:paraId="231E44D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1.室内半球式；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2.poe供电；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3.清晰度4MP/400万像素；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4.日夜全彩、红外线≥30m；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5.IP66（67）防护；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6.H265、宽动态；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7.区域入侵报警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8.集距4mm~12mm根据现场需要订购</w:t>
            </w:r>
          </w:p>
        </w:tc>
        <w:tc>
          <w:tcPr>
            <w:tcW w:w="555" w:type="dxa"/>
            <w:tcBorders>
              <w:tl2br w:val="nil"/>
              <w:tr2bl w:val="nil"/>
            </w:tcBorders>
            <w:vAlign w:val="center"/>
          </w:tcPr>
          <w:p w14:paraId="0A8CD1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140F8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51</w:t>
            </w:r>
          </w:p>
        </w:tc>
        <w:tc>
          <w:tcPr>
            <w:tcW w:w="1140" w:type="dxa"/>
            <w:tcBorders>
              <w:tl2br w:val="nil"/>
              <w:tr2bl w:val="nil"/>
            </w:tcBorders>
            <w:vAlign w:val="center"/>
          </w:tcPr>
          <w:p w14:paraId="261A740C">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76F0C03F">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383C660D">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品牌：海康威视或同等档次</w:t>
            </w:r>
          </w:p>
        </w:tc>
      </w:tr>
      <w:tr w14:paraId="34ED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25B81BF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12</w:t>
            </w:r>
          </w:p>
        </w:tc>
        <w:tc>
          <w:tcPr>
            <w:tcW w:w="1362" w:type="dxa"/>
            <w:tcBorders>
              <w:tl2br w:val="nil"/>
              <w:tr2bl w:val="nil"/>
            </w:tcBorders>
            <w:vAlign w:val="center"/>
          </w:tcPr>
          <w:p w14:paraId="238B40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监控头支架</w:t>
            </w:r>
          </w:p>
        </w:tc>
        <w:tc>
          <w:tcPr>
            <w:tcW w:w="3774" w:type="dxa"/>
            <w:tcBorders>
              <w:tl2br w:val="nil"/>
              <w:tr2bl w:val="nil"/>
            </w:tcBorders>
            <w:vAlign w:val="center"/>
          </w:tcPr>
          <w:p w14:paraId="6566491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材质不锈钢、监控头专用支架、安装于杆臂或墙上</w:t>
            </w:r>
          </w:p>
        </w:tc>
        <w:tc>
          <w:tcPr>
            <w:tcW w:w="555" w:type="dxa"/>
            <w:tcBorders>
              <w:tl2br w:val="nil"/>
              <w:tr2bl w:val="nil"/>
            </w:tcBorders>
            <w:vAlign w:val="center"/>
          </w:tcPr>
          <w:p w14:paraId="344E2B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个</w:t>
            </w:r>
          </w:p>
        </w:tc>
        <w:tc>
          <w:tcPr>
            <w:tcW w:w="600" w:type="dxa"/>
            <w:tcBorders>
              <w:tl2br w:val="nil"/>
              <w:tr2bl w:val="nil"/>
            </w:tcBorders>
            <w:vAlign w:val="center"/>
          </w:tcPr>
          <w:p w14:paraId="0EE9E4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109</w:t>
            </w:r>
          </w:p>
        </w:tc>
        <w:tc>
          <w:tcPr>
            <w:tcW w:w="1140" w:type="dxa"/>
            <w:tcBorders>
              <w:tl2br w:val="nil"/>
              <w:tr2bl w:val="nil"/>
            </w:tcBorders>
            <w:vAlign w:val="center"/>
          </w:tcPr>
          <w:p w14:paraId="522562A0">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7714B778">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5D268C78">
            <w:pPr>
              <w:widowControl/>
              <w:jc w:val="center"/>
              <w:textAlignment w:val="center"/>
              <w:rPr>
                <w:rFonts w:hint="eastAsia" w:ascii="宋体" w:hAnsi="宋体" w:cs="宋体"/>
                <w:color w:val="000000"/>
                <w:kern w:val="0"/>
                <w:sz w:val="20"/>
                <w:szCs w:val="20"/>
              </w:rPr>
            </w:pPr>
          </w:p>
        </w:tc>
      </w:tr>
      <w:tr w14:paraId="66AB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447" w:type="dxa"/>
            <w:tcBorders>
              <w:tl2br w:val="nil"/>
              <w:tr2bl w:val="nil"/>
            </w:tcBorders>
            <w:vAlign w:val="center"/>
          </w:tcPr>
          <w:p w14:paraId="05677F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13</w:t>
            </w:r>
          </w:p>
        </w:tc>
        <w:tc>
          <w:tcPr>
            <w:tcW w:w="1362" w:type="dxa"/>
            <w:tcBorders>
              <w:tl2br w:val="nil"/>
              <w:tr2bl w:val="nil"/>
            </w:tcBorders>
            <w:vAlign w:val="center"/>
          </w:tcPr>
          <w:p w14:paraId="7C031F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交换机</w:t>
            </w:r>
          </w:p>
        </w:tc>
        <w:tc>
          <w:tcPr>
            <w:tcW w:w="3774" w:type="dxa"/>
            <w:tcBorders>
              <w:tl2br w:val="nil"/>
              <w:tr2bl w:val="nil"/>
            </w:tcBorders>
            <w:vAlign w:val="center"/>
          </w:tcPr>
          <w:p w14:paraId="22037438">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业级铁壳EPON ONU、1个PON口、4个千兆网口、运行温度：-40℃～70</w:t>
            </w:r>
          </w:p>
        </w:tc>
        <w:tc>
          <w:tcPr>
            <w:tcW w:w="555" w:type="dxa"/>
            <w:tcBorders>
              <w:tl2br w:val="nil"/>
              <w:tr2bl w:val="nil"/>
            </w:tcBorders>
            <w:vAlign w:val="center"/>
          </w:tcPr>
          <w:p w14:paraId="4851DC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589D65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28</w:t>
            </w:r>
          </w:p>
        </w:tc>
        <w:tc>
          <w:tcPr>
            <w:tcW w:w="1140" w:type="dxa"/>
            <w:tcBorders>
              <w:tl2br w:val="nil"/>
              <w:tr2bl w:val="nil"/>
            </w:tcBorders>
            <w:vAlign w:val="center"/>
          </w:tcPr>
          <w:p w14:paraId="68B69D3E">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5B062ABD">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1288D5A4">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品牌：锐捷或同等档次</w:t>
            </w:r>
          </w:p>
        </w:tc>
      </w:tr>
      <w:tr w14:paraId="038B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447" w:type="dxa"/>
            <w:tcBorders>
              <w:tl2br w:val="nil"/>
              <w:tr2bl w:val="nil"/>
            </w:tcBorders>
            <w:vAlign w:val="center"/>
          </w:tcPr>
          <w:p w14:paraId="3601B4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14</w:t>
            </w:r>
          </w:p>
        </w:tc>
        <w:tc>
          <w:tcPr>
            <w:tcW w:w="1362" w:type="dxa"/>
            <w:tcBorders>
              <w:tl2br w:val="nil"/>
              <w:tr2bl w:val="nil"/>
            </w:tcBorders>
            <w:vAlign w:val="center"/>
          </w:tcPr>
          <w:p w14:paraId="73194C5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8口电千兆POE交换机</w:t>
            </w:r>
          </w:p>
        </w:tc>
        <w:tc>
          <w:tcPr>
            <w:tcW w:w="3774" w:type="dxa"/>
            <w:tcBorders>
              <w:tl2br w:val="nil"/>
              <w:tr2bl w:val="nil"/>
            </w:tcBorders>
            <w:vAlign w:val="center"/>
          </w:tcPr>
          <w:p w14:paraId="49245F8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1.金属外壳：不小于0.8mm钢板；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2.非网管型、即插即用以太网交换机；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3.8个电口；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4.传输速度: 1000Mbps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5.配套电源</w:t>
            </w:r>
          </w:p>
        </w:tc>
        <w:tc>
          <w:tcPr>
            <w:tcW w:w="555" w:type="dxa"/>
            <w:tcBorders>
              <w:tl2br w:val="nil"/>
              <w:tr2bl w:val="nil"/>
            </w:tcBorders>
            <w:vAlign w:val="center"/>
          </w:tcPr>
          <w:p w14:paraId="6E7DC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62251D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w:t>
            </w:r>
          </w:p>
        </w:tc>
        <w:tc>
          <w:tcPr>
            <w:tcW w:w="1140" w:type="dxa"/>
            <w:tcBorders>
              <w:tl2br w:val="nil"/>
              <w:tr2bl w:val="nil"/>
            </w:tcBorders>
            <w:vAlign w:val="center"/>
          </w:tcPr>
          <w:p w14:paraId="6C274E63">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6105B885">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5A737A4F">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品牌：锐捷或同等档次</w:t>
            </w:r>
          </w:p>
        </w:tc>
      </w:tr>
      <w:tr w14:paraId="4CD7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447" w:type="dxa"/>
            <w:tcBorders>
              <w:tl2br w:val="nil"/>
              <w:tr2bl w:val="nil"/>
            </w:tcBorders>
            <w:vAlign w:val="center"/>
          </w:tcPr>
          <w:p w14:paraId="11B5B0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15</w:t>
            </w:r>
          </w:p>
        </w:tc>
        <w:tc>
          <w:tcPr>
            <w:tcW w:w="1362" w:type="dxa"/>
            <w:tcBorders>
              <w:tl2br w:val="nil"/>
              <w:tr2bl w:val="nil"/>
            </w:tcBorders>
            <w:vAlign w:val="center"/>
          </w:tcPr>
          <w:p w14:paraId="3A9786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4口电千兆POE交换机</w:t>
            </w:r>
          </w:p>
        </w:tc>
        <w:tc>
          <w:tcPr>
            <w:tcW w:w="3774" w:type="dxa"/>
            <w:tcBorders>
              <w:tl2br w:val="nil"/>
              <w:tr2bl w:val="nil"/>
            </w:tcBorders>
            <w:vAlign w:val="center"/>
          </w:tcPr>
          <w:p w14:paraId="15DFBF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1.金属外壳：不小于0.8mm钢板；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2.非网管型、即插即用以太网交换机；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3.4个电口；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4.传输速度: 1000Mbps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5.配套电源</w:t>
            </w:r>
          </w:p>
        </w:tc>
        <w:tc>
          <w:tcPr>
            <w:tcW w:w="555" w:type="dxa"/>
            <w:tcBorders>
              <w:tl2br w:val="nil"/>
              <w:tr2bl w:val="nil"/>
            </w:tcBorders>
            <w:vAlign w:val="center"/>
          </w:tcPr>
          <w:p w14:paraId="44421E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台</w:t>
            </w:r>
          </w:p>
        </w:tc>
        <w:tc>
          <w:tcPr>
            <w:tcW w:w="600" w:type="dxa"/>
            <w:tcBorders>
              <w:tl2br w:val="nil"/>
              <w:tr2bl w:val="nil"/>
            </w:tcBorders>
            <w:vAlign w:val="center"/>
          </w:tcPr>
          <w:p w14:paraId="216B71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18</w:t>
            </w:r>
          </w:p>
        </w:tc>
        <w:tc>
          <w:tcPr>
            <w:tcW w:w="1140" w:type="dxa"/>
            <w:tcBorders>
              <w:tl2br w:val="nil"/>
              <w:tr2bl w:val="nil"/>
            </w:tcBorders>
            <w:vAlign w:val="center"/>
          </w:tcPr>
          <w:p w14:paraId="6DDA5FDA">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4D41AB7E">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5C726DAD">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品牌：锐捷或同等档次</w:t>
            </w:r>
          </w:p>
        </w:tc>
      </w:tr>
      <w:tr w14:paraId="26EF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447" w:type="dxa"/>
            <w:tcBorders>
              <w:tl2br w:val="nil"/>
              <w:tr2bl w:val="nil"/>
            </w:tcBorders>
            <w:vAlign w:val="center"/>
          </w:tcPr>
          <w:p w14:paraId="279EDB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16</w:t>
            </w:r>
          </w:p>
        </w:tc>
        <w:tc>
          <w:tcPr>
            <w:tcW w:w="1362" w:type="dxa"/>
            <w:tcBorders>
              <w:tl2br w:val="nil"/>
              <w:tr2bl w:val="nil"/>
            </w:tcBorders>
            <w:vAlign w:val="center"/>
          </w:tcPr>
          <w:p w14:paraId="14670F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不锈钢接线箱</w:t>
            </w:r>
          </w:p>
        </w:tc>
        <w:tc>
          <w:tcPr>
            <w:tcW w:w="3774" w:type="dxa"/>
            <w:tcBorders>
              <w:tl2br w:val="nil"/>
              <w:tr2bl w:val="nil"/>
            </w:tcBorders>
            <w:vAlign w:val="center"/>
          </w:tcPr>
          <w:p w14:paraId="204E695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1、防水型、不锈钢接线箱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2、尺寸：300*400*200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3、配设备安装的支架，电源开关、多用插座；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4、不锈钢锁、安装固定支架等</w:t>
            </w:r>
          </w:p>
        </w:tc>
        <w:tc>
          <w:tcPr>
            <w:tcW w:w="555" w:type="dxa"/>
            <w:tcBorders>
              <w:tl2br w:val="nil"/>
              <w:tr2bl w:val="nil"/>
            </w:tcBorders>
            <w:vAlign w:val="center"/>
          </w:tcPr>
          <w:p w14:paraId="39140A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只</w:t>
            </w:r>
          </w:p>
        </w:tc>
        <w:tc>
          <w:tcPr>
            <w:tcW w:w="600" w:type="dxa"/>
            <w:tcBorders>
              <w:tl2br w:val="nil"/>
              <w:tr2bl w:val="nil"/>
            </w:tcBorders>
            <w:vAlign w:val="center"/>
          </w:tcPr>
          <w:p w14:paraId="1DB897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12</w:t>
            </w:r>
          </w:p>
        </w:tc>
        <w:tc>
          <w:tcPr>
            <w:tcW w:w="1140" w:type="dxa"/>
            <w:tcBorders>
              <w:tl2br w:val="nil"/>
              <w:tr2bl w:val="nil"/>
            </w:tcBorders>
            <w:vAlign w:val="center"/>
          </w:tcPr>
          <w:p w14:paraId="2CF24879">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2F910035">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1B1E623C">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车库明装于梁或墙上、道路明装杆上不小于1.8米</w:t>
            </w:r>
          </w:p>
        </w:tc>
      </w:tr>
      <w:tr w14:paraId="70B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47" w:type="dxa"/>
            <w:tcBorders>
              <w:tl2br w:val="nil"/>
              <w:tr2bl w:val="nil"/>
            </w:tcBorders>
            <w:vAlign w:val="center"/>
          </w:tcPr>
          <w:p w14:paraId="59B29A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17</w:t>
            </w:r>
          </w:p>
        </w:tc>
        <w:tc>
          <w:tcPr>
            <w:tcW w:w="1362" w:type="dxa"/>
            <w:tcBorders>
              <w:tl2br w:val="nil"/>
              <w:tr2bl w:val="nil"/>
            </w:tcBorders>
            <w:vAlign w:val="center"/>
          </w:tcPr>
          <w:p w14:paraId="3D5118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室外光缆</w:t>
            </w:r>
          </w:p>
        </w:tc>
        <w:tc>
          <w:tcPr>
            <w:tcW w:w="3774" w:type="dxa"/>
            <w:tcBorders>
              <w:tl2br w:val="nil"/>
              <w:tr2bl w:val="nil"/>
            </w:tcBorders>
            <w:vAlign w:val="center"/>
          </w:tcPr>
          <w:p w14:paraId="3EB0E62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4芯单模、铠装</w:t>
            </w:r>
          </w:p>
        </w:tc>
        <w:tc>
          <w:tcPr>
            <w:tcW w:w="555" w:type="dxa"/>
            <w:tcBorders>
              <w:tl2br w:val="nil"/>
              <w:tr2bl w:val="nil"/>
            </w:tcBorders>
            <w:vAlign w:val="center"/>
          </w:tcPr>
          <w:p w14:paraId="3DD98B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4598B90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2200</w:t>
            </w:r>
          </w:p>
        </w:tc>
        <w:tc>
          <w:tcPr>
            <w:tcW w:w="1140" w:type="dxa"/>
            <w:tcBorders>
              <w:tl2br w:val="nil"/>
              <w:tr2bl w:val="nil"/>
            </w:tcBorders>
            <w:vAlign w:val="center"/>
          </w:tcPr>
          <w:p w14:paraId="13FDB236">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6E052871">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46437C56">
            <w:pPr>
              <w:widowControl/>
              <w:jc w:val="center"/>
              <w:textAlignment w:val="center"/>
              <w:rPr>
                <w:rFonts w:hint="eastAsia" w:ascii="宋体" w:hAnsi="宋体" w:cs="宋体"/>
                <w:color w:val="000000"/>
                <w:kern w:val="0"/>
                <w:sz w:val="20"/>
                <w:szCs w:val="20"/>
              </w:rPr>
            </w:pPr>
          </w:p>
        </w:tc>
      </w:tr>
      <w:tr w14:paraId="0986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447" w:type="dxa"/>
            <w:tcBorders>
              <w:tl2br w:val="nil"/>
              <w:tr2bl w:val="nil"/>
            </w:tcBorders>
            <w:vAlign w:val="center"/>
          </w:tcPr>
          <w:p w14:paraId="176225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18</w:t>
            </w:r>
          </w:p>
        </w:tc>
        <w:tc>
          <w:tcPr>
            <w:tcW w:w="1362" w:type="dxa"/>
            <w:tcBorders>
              <w:tl2br w:val="nil"/>
              <w:tr2bl w:val="nil"/>
            </w:tcBorders>
            <w:vAlign w:val="center"/>
          </w:tcPr>
          <w:p w14:paraId="12E9C0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室外超五类网线</w:t>
            </w:r>
          </w:p>
        </w:tc>
        <w:tc>
          <w:tcPr>
            <w:tcW w:w="3774" w:type="dxa"/>
            <w:tcBorders>
              <w:tl2br w:val="nil"/>
              <w:tr2bl w:val="nil"/>
            </w:tcBorders>
            <w:vAlign w:val="center"/>
          </w:tcPr>
          <w:p w14:paraId="6CCE81D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1、规格8*0.5；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2、线芯0.48无氧铜；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3、双护套；</w:t>
            </w:r>
          </w:p>
        </w:tc>
        <w:tc>
          <w:tcPr>
            <w:tcW w:w="555" w:type="dxa"/>
            <w:tcBorders>
              <w:tl2br w:val="nil"/>
              <w:tr2bl w:val="nil"/>
            </w:tcBorders>
            <w:vAlign w:val="center"/>
          </w:tcPr>
          <w:p w14:paraId="1BF13C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7378A3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10880</w:t>
            </w:r>
          </w:p>
        </w:tc>
        <w:tc>
          <w:tcPr>
            <w:tcW w:w="1140" w:type="dxa"/>
            <w:tcBorders>
              <w:tl2br w:val="nil"/>
              <w:tr2bl w:val="nil"/>
            </w:tcBorders>
            <w:vAlign w:val="center"/>
          </w:tcPr>
          <w:p w14:paraId="0DB96FDF">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42BE5525">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53F8E249">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管内敷设、接线（水晶头制作安装）、线路测试</w:t>
            </w:r>
          </w:p>
        </w:tc>
      </w:tr>
      <w:tr w14:paraId="4D2F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Borders>
              <w:tl2br w:val="nil"/>
              <w:tr2bl w:val="nil"/>
            </w:tcBorders>
            <w:vAlign w:val="center"/>
          </w:tcPr>
          <w:p w14:paraId="0A2239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19</w:t>
            </w:r>
          </w:p>
        </w:tc>
        <w:tc>
          <w:tcPr>
            <w:tcW w:w="1362" w:type="dxa"/>
            <w:tcBorders>
              <w:tl2br w:val="nil"/>
              <w:tr2bl w:val="nil"/>
            </w:tcBorders>
            <w:vAlign w:val="center"/>
          </w:tcPr>
          <w:p w14:paraId="666AE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电源支线</w:t>
            </w:r>
          </w:p>
        </w:tc>
        <w:tc>
          <w:tcPr>
            <w:tcW w:w="3774" w:type="dxa"/>
            <w:tcBorders>
              <w:tl2br w:val="nil"/>
              <w:tr2bl w:val="nil"/>
            </w:tcBorders>
            <w:vAlign w:val="center"/>
          </w:tcPr>
          <w:p w14:paraId="314936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国标RVV-2*1.0</w:t>
            </w:r>
          </w:p>
        </w:tc>
        <w:tc>
          <w:tcPr>
            <w:tcW w:w="555" w:type="dxa"/>
            <w:tcBorders>
              <w:tl2br w:val="nil"/>
              <w:tr2bl w:val="nil"/>
            </w:tcBorders>
            <w:vAlign w:val="center"/>
          </w:tcPr>
          <w:p w14:paraId="7098F9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7AD09E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1600</w:t>
            </w:r>
          </w:p>
        </w:tc>
        <w:tc>
          <w:tcPr>
            <w:tcW w:w="1140" w:type="dxa"/>
            <w:tcBorders>
              <w:tl2br w:val="nil"/>
              <w:tr2bl w:val="nil"/>
            </w:tcBorders>
            <w:vAlign w:val="center"/>
          </w:tcPr>
          <w:p w14:paraId="386565E8">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5D73B607">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047B17A3">
            <w:pPr>
              <w:widowControl/>
              <w:jc w:val="center"/>
              <w:textAlignment w:val="center"/>
              <w:rPr>
                <w:rFonts w:hint="eastAsia" w:ascii="宋体" w:hAnsi="宋体" w:cs="宋体"/>
                <w:color w:val="000000"/>
                <w:kern w:val="0"/>
                <w:sz w:val="20"/>
                <w:szCs w:val="20"/>
              </w:rPr>
            </w:pPr>
          </w:p>
        </w:tc>
      </w:tr>
      <w:tr w14:paraId="6E60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49F828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20</w:t>
            </w:r>
          </w:p>
        </w:tc>
        <w:tc>
          <w:tcPr>
            <w:tcW w:w="1362" w:type="dxa"/>
            <w:tcBorders>
              <w:tl2br w:val="nil"/>
              <w:tr2bl w:val="nil"/>
            </w:tcBorders>
            <w:vAlign w:val="center"/>
          </w:tcPr>
          <w:p w14:paraId="0FCF4B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光纤熔接盒</w:t>
            </w:r>
          </w:p>
        </w:tc>
        <w:tc>
          <w:tcPr>
            <w:tcW w:w="3774" w:type="dxa"/>
            <w:tcBorders>
              <w:tl2br w:val="nil"/>
              <w:tr2bl w:val="nil"/>
            </w:tcBorders>
            <w:vAlign w:val="center"/>
          </w:tcPr>
          <w:p w14:paraId="1A9172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4口光纤熔接盒</w:t>
            </w:r>
          </w:p>
        </w:tc>
        <w:tc>
          <w:tcPr>
            <w:tcW w:w="555" w:type="dxa"/>
            <w:tcBorders>
              <w:tl2br w:val="nil"/>
              <w:tr2bl w:val="nil"/>
            </w:tcBorders>
            <w:vAlign w:val="center"/>
          </w:tcPr>
          <w:p w14:paraId="5B7CD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17CA45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w:t>
            </w:r>
          </w:p>
        </w:tc>
        <w:tc>
          <w:tcPr>
            <w:tcW w:w="1140" w:type="dxa"/>
            <w:tcBorders>
              <w:tl2br w:val="nil"/>
              <w:tr2bl w:val="nil"/>
            </w:tcBorders>
            <w:vAlign w:val="center"/>
          </w:tcPr>
          <w:p w14:paraId="3657E813">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13A58CD1">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50351E51">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安装于现场箱内</w:t>
            </w:r>
          </w:p>
        </w:tc>
      </w:tr>
      <w:tr w14:paraId="5559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47" w:type="dxa"/>
            <w:tcBorders>
              <w:tl2br w:val="nil"/>
              <w:tr2bl w:val="nil"/>
            </w:tcBorders>
            <w:vAlign w:val="center"/>
          </w:tcPr>
          <w:p w14:paraId="206D6A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21</w:t>
            </w:r>
          </w:p>
        </w:tc>
        <w:tc>
          <w:tcPr>
            <w:tcW w:w="1362" w:type="dxa"/>
            <w:tcBorders>
              <w:tl2br w:val="nil"/>
              <w:tr2bl w:val="nil"/>
            </w:tcBorders>
            <w:vAlign w:val="center"/>
          </w:tcPr>
          <w:p w14:paraId="1D2B8B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PVC20电线管</w:t>
            </w:r>
          </w:p>
        </w:tc>
        <w:tc>
          <w:tcPr>
            <w:tcW w:w="3774" w:type="dxa"/>
            <w:tcBorders>
              <w:tl2br w:val="nil"/>
              <w:tr2bl w:val="nil"/>
            </w:tcBorders>
            <w:vAlign w:val="center"/>
          </w:tcPr>
          <w:p w14:paraId="2AF631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埋地敷设</w:t>
            </w:r>
          </w:p>
        </w:tc>
        <w:tc>
          <w:tcPr>
            <w:tcW w:w="555" w:type="dxa"/>
            <w:tcBorders>
              <w:tl2br w:val="nil"/>
              <w:tr2bl w:val="nil"/>
            </w:tcBorders>
            <w:vAlign w:val="center"/>
          </w:tcPr>
          <w:p w14:paraId="0E2D74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5E84EA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1000</w:t>
            </w:r>
          </w:p>
        </w:tc>
        <w:tc>
          <w:tcPr>
            <w:tcW w:w="1140" w:type="dxa"/>
            <w:tcBorders>
              <w:tl2br w:val="nil"/>
              <w:tr2bl w:val="nil"/>
            </w:tcBorders>
            <w:vAlign w:val="center"/>
          </w:tcPr>
          <w:p w14:paraId="2798E6D0">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27A2204F">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4F78DAA0">
            <w:pPr>
              <w:widowControl/>
              <w:jc w:val="center"/>
              <w:textAlignment w:val="center"/>
              <w:rPr>
                <w:rFonts w:hint="eastAsia" w:ascii="宋体" w:hAnsi="宋体" w:cs="宋体"/>
                <w:color w:val="000000"/>
                <w:kern w:val="0"/>
                <w:sz w:val="20"/>
                <w:szCs w:val="20"/>
              </w:rPr>
            </w:pPr>
          </w:p>
        </w:tc>
      </w:tr>
      <w:tr w14:paraId="651F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47" w:type="dxa"/>
            <w:tcBorders>
              <w:tl2br w:val="nil"/>
              <w:tr2bl w:val="nil"/>
            </w:tcBorders>
            <w:vAlign w:val="center"/>
          </w:tcPr>
          <w:p w14:paraId="2DC714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22</w:t>
            </w:r>
          </w:p>
        </w:tc>
        <w:tc>
          <w:tcPr>
            <w:tcW w:w="1362" w:type="dxa"/>
            <w:tcBorders>
              <w:tl2br w:val="nil"/>
              <w:tr2bl w:val="nil"/>
            </w:tcBorders>
            <w:vAlign w:val="center"/>
          </w:tcPr>
          <w:p w14:paraId="31EF4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PVC25电线管</w:t>
            </w:r>
          </w:p>
        </w:tc>
        <w:tc>
          <w:tcPr>
            <w:tcW w:w="3774" w:type="dxa"/>
            <w:tcBorders>
              <w:tl2br w:val="nil"/>
              <w:tr2bl w:val="nil"/>
            </w:tcBorders>
            <w:vAlign w:val="center"/>
          </w:tcPr>
          <w:p w14:paraId="120F36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埋地敷设</w:t>
            </w:r>
          </w:p>
        </w:tc>
        <w:tc>
          <w:tcPr>
            <w:tcW w:w="555" w:type="dxa"/>
            <w:tcBorders>
              <w:tl2br w:val="nil"/>
              <w:tr2bl w:val="nil"/>
            </w:tcBorders>
            <w:vAlign w:val="center"/>
          </w:tcPr>
          <w:p w14:paraId="50F25B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675685F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800</w:t>
            </w:r>
          </w:p>
        </w:tc>
        <w:tc>
          <w:tcPr>
            <w:tcW w:w="1140" w:type="dxa"/>
            <w:tcBorders>
              <w:tl2br w:val="nil"/>
              <w:tr2bl w:val="nil"/>
            </w:tcBorders>
            <w:vAlign w:val="center"/>
          </w:tcPr>
          <w:p w14:paraId="03753D1B">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7C09199D">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40E9E3B6">
            <w:pPr>
              <w:widowControl/>
              <w:jc w:val="center"/>
              <w:textAlignment w:val="center"/>
              <w:rPr>
                <w:rFonts w:hint="eastAsia" w:ascii="宋体" w:hAnsi="宋体" w:cs="宋体"/>
                <w:color w:val="000000"/>
                <w:kern w:val="0"/>
                <w:sz w:val="20"/>
                <w:szCs w:val="20"/>
              </w:rPr>
            </w:pPr>
          </w:p>
        </w:tc>
      </w:tr>
      <w:tr w14:paraId="782A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47" w:type="dxa"/>
            <w:tcBorders>
              <w:tl2br w:val="nil"/>
              <w:tr2bl w:val="nil"/>
            </w:tcBorders>
            <w:vAlign w:val="center"/>
          </w:tcPr>
          <w:p w14:paraId="115BC7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23</w:t>
            </w:r>
          </w:p>
        </w:tc>
        <w:tc>
          <w:tcPr>
            <w:tcW w:w="1362" w:type="dxa"/>
            <w:tcBorders>
              <w:tl2br w:val="nil"/>
              <w:tr2bl w:val="nil"/>
            </w:tcBorders>
            <w:vAlign w:val="center"/>
          </w:tcPr>
          <w:p w14:paraId="47BF7C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管沟土方</w:t>
            </w:r>
          </w:p>
        </w:tc>
        <w:tc>
          <w:tcPr>
            <w:tcW w:w="3774" w:type="dxa"/>
            <w:tcBorders>
              <w:tl2br w:val="nil"/>
              <w:tr2bl w:val="nil"/>
            </w:tcBorders>
            <w:vAlign w:val="center"/>
          </w:tcPr>
          <w:p w14:paraId="1D524D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沿绿化带等挖、填土，深度不小于500mm</w:t>
            </w:r>
          </w:p>
        </w:tc>
        <w:tc>
          <w:tcPr>
            <w:tcW w:w="555" w:type="dxa"/>
            <w:tcBorders>
              <w:tl2br w:val="nil"/>
              <w:tr2bl w:val="nil"/>
            </w:tcBorders>
            <w:vAlign w:val="center"/>
          </w:tcPr>
          <w:p w14:paraId="20D8BD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米</w:t>
            </w:r>
          </w:p>
        </w:tc>
        <w:tc>
          <w:tcPr>
            <w:tcW w:w="600" w:type="dxa"/>
            <w:tcBorders>
              <w:tl2br w:val="nil"/>
              <w:tr2bl w:val="nil"/>
            </w:tcBorders>
            <w:vAlign w:val="center"/>
          </w:tcPr>
          <w:p w14:paraId="1F382F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60</w:t>
            </w:r>
          </w:p>
        </w:tc>
        <w:tc>
          <w:tcPr>
            <w:tcW w:w="1140" w:type="dxa"/>
            <w:tcBorders>
              <w:tl2br w:val="nil"/>
              <w:tr2bl w:val="nil"/>
            </w:tcBorders>
            <w:vAlign w:val="center"/>
          </w:tcPr>
          <w:p w14:paraId="4D45599A">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64519391">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7DE77040">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深度不足时调减价格</w:t>
            </w:r>
          </w:p>
        </w:tc>
      </w:tr>
      <w:tr w14:paraId="4234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47" w:type="dxa"/>
            <w:tcBorders>
              <w:tl2br w:val="nil"/>
              <w:tr2bl w:val="nil"/>
            </w:tcBorders>
            <w:vAlign w:val="center"/>
          </w:tcPr>
          <w:p w14:paraId="6017E1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24</w:t>
            </w:r>
          </w:p>
        </w:tc>
        <w:tc>
          <w:tcPr>
            <w:tcW w:w="1362" w:type="dxa"/>
            <w:tcBorders>
              <w:tl2br w:val="nil"/>
              <w:tr2bl w:val="nil"/>
            </w:tcBorders>
            <w:vAlign w:val="center"/>
          </w:tcPr>
          <w:p w14:paraId="21A761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新监控杆</w:t>
            </w:r>
          </w:p>
        </w:tc>
        <w:tc>
          <w:tcPr>
            <w:tcW w:w="3774" w:type="dxa"/>
            <w:tcBorders>
              <w:tl2br w:val="nil"/>
              <w:tr2bl w:val="nil"/>
            </w:tcBorders>
            <w:vAlign w:val="center"/>
          </w:tcPr>
          <w:p w14:paraId="40F6A4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1.材质：热镀锌钢管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2.杆高：3.5米、杆顶不锈球、上杆直径76mm、下端直径133mm并有检修门、不锈钢法兰底座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3.横臂：根据现场需要定制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4.其它：配套地龙、螺母等</w:t>
            </w:r>
          </w:p>
        </w:tc>
        <w:tc>
          <w:tcPr>
            <w:tcW w:w="555" w:type="dxa"/>
            <w:tcBorders>
              <w:tl2br w:val="nil"/>
              <w:tr2bl w:val="nil"/>
            </w:tcBorders>
            <w:vAlign w:val="center"/>
          </w:tcPr>
          <w:p w14:paraId="6E81A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套</w:t>
            </w:r>
          </w:p>
        </w:tc>
        <w:tc>
          <w:tcPr>
            <w:tcW w:w="600" w:type="dxa"/>
            <w:tcBorders>
              <w:tl2br w:val="nil"/>
              <w:tr2bl w:val="nil"/>
            </w:tcBorders>
            <w:vAlign w:val="center"/>
          </w:tcPr>
          <w:p w14:paraId="3A233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20</w:t>
            </w:r>
          </w:p>
        </w:tc>
        <w:tc>
          <w:tcPr>
            <w:tcW w:w="1140" w:type="dxa"/>
            <w:tcBorders>
              <w:tl2br w:val="nil"/>
              <w:tr2bl w:val="nil"/>
            </w:tcBorders>
            <w:vAlign w:val="center"/>
          </w:tcPr>
          <w:p w14:paraId="3C0B9F7F">
            <w:pPr>
              <w:widowControl/>
              <w:jc w:val="center"/>
              <w:textAlignment w:val="center"/>
              <w:rPr>
                <w:rFonts w:hint="eastAsia" w:ascii="宋体" w:hAnsi="宋体" w:cs="宋体"/>
                <w:color w:val="000000"/>
                <w:sz w:val="20"/>
                <w:szCs w:val="20"/>
              </w:rPr>
            </w:pPr>
          </w:p>
        </w:tc>
        <w:tc>
          <w:tcPr>
            <w:tcW w:w="993" w:type="dxa"/>
            <w:tcBorders>
              <w:tl2br w:val="nil"/>
              <w:tr2bl w:val="nil"/>
            </w:tcBorders>
            <w:vAlign w:val="center"/>
          </w:tcPr>
          <w:p w14:paraId="752E3B66">
            <w:pPr>
              <w:widowControl/>
              <w:jc w:val="center"/>
              <w:textAlignment w:val="center"/>
              <w:rPr>
                <w:rFonts w:hint="eastAsia" w:ascii="宋体" w:hAnsi="宋体" w:cs="宋体"/>
                <w:color w:val="000000"/>
                <w:sz w:val="20"/>
                <w:szCs w:val="20"/>
              </w:rPr>
            </w:pPr>
          </w:p>
        </w:tc>
        <w:tc>
          <w:tcPr>
            <w:tcW w:w="1109" w:type="dxa"/>
            <w:tcBorders>
              <w:tl2br w:val="nil"/>
              <w:tr2bl w:val="nil"/>
            </w:tcBorders>
            <w:vAlign w:val="center"/>
          </w:tcPr>
          <w:p w14:paraId="31C8B43F">
            <w:pPr>
              <w:jc w:val="center"/>
              <w:rPr>
                <w:rFonts w:hint="eastAsia" w:ascii="宋体" w:hAnsi="宋体" w:cs="宋体"/>
                <w:color w:val="000000"/>
                <w:sz w:val="20"/>
                <w:szCs w:val="20"/>
              </w:rPr>
            </w:pPr>
          </w:p>
        </w:tc>
      </w:tr>
      <w:tr w14:paraId="2CE9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7" w:type="dxa"/>
            <w:tcBorders>
              <w:tl2br w:val="nil"/>
              <w:tr2bl w:val="nil"/>
            </w:tcBorders>
            <w:vAlign w:val="center"/>
          </w:tcPr>
          <w:p w14:paraId="4B2931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25</w:t>
            </w:r>
          </w:p>
        </w:tc>
        <w:tc>
          <w:tcPr>
            <w:tcW w:w="1362" w:type="dxa"/>
            <w:tcBorders>
              <w:tl2br w:val="nil"/>
              <w:tr2bl w:val="nil"/>
            </w:tcBorders>
            <w:vAlign w:val="center"/>
          </w:tcPr>
          <w:p w14:paraId="10E21B9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小 计</w:t>
            </w:r>
          </w:p>
        </w:tc>
        <w:tc>
          <w:tcPr>
            <w:tcW w:w="6069" w:type="dxa"/>
            <w:gridSpan w:val="4"/>
            <w:tcBorders>
              <w:tl2br w:val="nil"/>
              <w:tr2bl w:val="nil"/>
            </w:tcBorders>
            <w:vAlign w:val="center"/>
          </w:tcPr>
          <w:p w14:paraId="22202517">
            <w:pPr>
              <w:jc w:val="center"/>
              <w:rPr>
                <w:rFonts w:hint="eastAsia" w:ascii="宋体" w:hAnsi="宋体" w:cs="宋体"/>
                <w:b/>
                <w:bCs/>
                <w:color w:val="000000"/>
                <w:sz w:val="20"/>
                <w:szCs w:val="20"/>
              </w:rPr>
            </w:pPr>
          </w:p>
        </w:tc>
        <w:tc>
          <w:tcPr>
            <w:tcW w:w="993" w:type="dxa"/>
            <w:tcBorders>
              <w:tl2br w:val="nil"/>
              <w:tr2bl w:val="nil"/>
            </w:tcBorders>
            <w:vAlign w:val="center"/>
          </w:tcPr>
          <w:p w14:paraId="5FCC662C">
            <w:pPr>
              <w:widowControl/>
              <w:jc w:val="center"/>
              <w:textAlignment w:val="center"/>
              <w:rPr>
                <w:rFonts w:hint="eastAsia" w:ascii="宋体" w:hAnsi="宋体" w:cs="宋体"/>
                <w:b/>
                <w:bCs/>
                <w:color w:val="000000"/>
                <w:sz w:val="20"/>
                <w:szCs w:val="20"/>
              </w:rPr>
            </w:pPr>
          </w:p>
        </w:tc>
        <w:tc>
          <w:tcPr>
            <w:tcW w:w="1109" w:type="dxa"/>
            <w:tcBorders>
              <w:tl2br w:val="nil"/>
              <w:tr2bl w:val="nil"/>
            </w:tcBorders>
            <w:vAlign w:val="center"/>
          </w:tcPr>
          <w:p w14:paraId="41ECB7C3">
            <w:pPr>
              <w:jc w:val="center"/>
              <w:rPr>
                <w:rFonts w:hint="eastAsia" w:ascii="宋体" w:hAnsi="宋体" w:cs="宋体"/>
                <w:b/>
                <w:bCs/>
                <w:color w:val="000000"/>
                <w:sz w:val="20"/>
                <w:szCs w:val="20"/>
              </w:rPr>
            </w:pPr>
          </w:p>
        </w:tc>
      </w:tr>
      <w:tr w14:paraId="598F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980" w:type="dxa"/>
            <w:gridSpan w:val="8"/>
            <w:tcBorders>
              <w:tl2br w:val="nil"/>
              <w:tr2bl w:val="nil"/>
            </w:tcBorders>
            <w:vAlign w:val="center"/>
          </w:tcPr>
          <w:p w14:paraId="3A618BF5">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 xml:space="preserve">   注：1、所有的工程量为暂定量，投标人投标时不得调整；</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 xml:space="preserve">      2、投标时需提供品牌、规格型号；    </w:t>
            </w:r>
          </w:p>
        </w:tc>
      </w:tr>
      <w:bookmarkEnd w:id="546"/>
      <w:bookmarkEnd w:id="547"/>
    </w:tbl>
    <w:p w14:paraId="605445A9">
      <w:pPr>
        <w:jc w:val="center"/>
        <w:rPr>
          <w:rFonts w:hint="eastAsia" w:cs="楷体_GB2312" w:asciiTheme="minorEastAsia" w:hAnsiTheme="minorEastAsia" w:eastAsiaTheme="minorEastAsia"/>
          <w:sz w:val="32"/>
          <w:szCs w:val="32"/>
        </w:rPr>
      </w:pPr>
    </w:p>
    <w:sectPr>
      <w:footerReference r:id="rId6" w:type="default"/>
      <w:pgSz w:w="11900" w:h="16841"/>
      <w:pgMar w:top="1440" w:right="1440" w:bottom="1440" w:left="108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roman"/>
    <w:pitch w:val="default"/>
    <w:sig w:usb0="00000000" w:usb1="00000000" w:usb2="00000010" w:usb3="00000000" w:csb0="00040000" w:csb1="00000000"/>
  </w:font>
  <w:font w:name="Plot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7F" w:usb3="00000000" w:csb0="003F01FF" w:csb1="00000000"/>
  </w:font>
  <w:font w:name="TimesNewRomanPSMT">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349F">
    <w:pPr>
      <w:pStyle w:val="29"/>
      <w:tabs>
        <w:tab w:val="left" w:pos="108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D593">
    <w:pPr>
      <w:pStyle w:val="29"/>
      <w:tabs>
        <w:tab w:val="clear" w:pos="4153"/>
        <w:tab w:val="clear" w:pos="8306"/>
      </w:tabs>
      <w:ind w:right="22"/>
      <w:jc w:val="right"/>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8A5C">
    <w:pPr>
      <w:pStyle w:val="29"/>
      <w:tabs>
        <w:tab w:val="left" w:pos="108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593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japaneseCounting"/>
      <w:pStyle w:val="119"/>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Letter"/>
      <w:lvlText w:val="%3．"/>
      <w:lvlJc w:val="left"/>
      <w:pPr>
        <w:tabs>
          <w:tab w:val="left" w:pos="1560"/>
        </w:tabs>
        <w:ind w:left="1560" w:hanging="720"/>
      </w:pPr>
      <w:rPr>
        <w:rFonts w:hint="eastAsia"/>
      </w:rPr>
    </w:lvl>
    <w:lvl w:ilvl="3" w:tentative="0">
      <w:start w:val="1"/>
      <w:numFmt w:val="decimal"/>
      <w:pStyle w:val="112"/>
      <w:lvlText w:val="%4）"/>
      <w:lvlJc w:val="left"/>
      <w:pPr>
        <w:tabs>
          <w:tab w:val="left" w:pos="1980"/>
        </w:tabs>
        <w:ind w:left="1980" w:hanging="720"/>
      </w:pPr>
      <w:rPr>
        <w:rFonts w:hint="eastAsia"/>
      </w:rPr>
    </w:lvl>
    <w:lvl w:ilvl="4" w:tentative="0">
      <w:start w:val="4"/>
      <w:numFmt w:val="japaneseCounting"/>
      <w:lvlText w:val="第%5章"/>
      <w:lvlJc w:val="left"/>
      <w:pPr>
        <w:tabs>
          <w:tab w:val="left" w:pos="3195"/>
        </w:tabs>
        <w:ind w:left="3195" w:hanging="1515"/>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4MzJhNWE1YjRmNmQ1ZjA3ZTI4Yzg5YmFmNjQ4NDUifQ=="/>
  </w:docVars>
  <w:rsids>
    <w:rsidRoot w:val="00172A27"/>
    <w:rsid w:val="00000EDA"/>
    <w:rsid w:val="00002287"/>
    <w:rsid w:val="00002F6B"/>
    <w:rsid w:val="00003538"/>
    <w:rsid w:val="00005556"/>
    <w:rsid w:val="00007A38"/>
    <w:rsid w:val="00012390"/>
    <w:rsid w:val="0001358F"/>
    <w:rsid w:val="00017F51"/>
    <w:rsid w:val="000302BC"/>
    <w:rsid w:val="000319C7"/>
    <w:rsid w:val="00034F1C"/>
    <w:rsid w:val="00035C8E"/>
    <w:rsid w:val="00035CA4"/>
    <w:rsid w:val="00037D80"/>
    <w:rsid w:val="00041718"/>
    <w:rsid w:val="00042821"/>
    <w:rsid w:val="00042ADA"/>
    <w:rsid w:val="000459BF"/>
    <w:rsid w:val="00045D53"/>
    <w:rsid w:val="00046709"/>
    <w:rsid w:val="00046EBA"/>
    <w:rsid w:val="00050243"/>
    <w:rsid w:val="000518AA"/>
    <w:rsid w:val="00052773"/>
    <w:rsid w:val="00054BFF"/>
    <w:rsid w:val="00057C9D"/>
    <w:rsid w:val="0006586D"/>
    <w:rsid w:val="00071ECA"/>
    <w:rsid w:val="000733FB"/>
    <w:rsid w:val="00074115"/>
    <w:rsid w:val="0008012A"/>
    <w:rsid w:val="0008043C"/>
    <w:rsid w:val="00090929"/>
    <w:rsid w:val="0009393F"/>
    <w:rsid w:val="00093E75"/>
    <w:rsid w:val="000A0186"/>
    <w:rsid w:val="000A0F60"/>
    <w:rsid w:val="000A2246"/>
    <w:rsid w:val="000A32C4"/>
    <w:rsid w:val="000A594B"/>
    <w:rsid w:val="000A73EB"/>
    <w:rsid w:val="000B13CC"/>
    <w:rsid w:val="000B3A5C"/>
    <w:rsid w:val="000B4917"/>
    <w:rsid w:val="000C02D7"/>
    <w:rsid w:val="000C5BE8"/>
    <w:rsid w:val="000C5DF2"/>
    <w:rsid w:val="000D05DB"/>
    <w:rsid w:val="000D064D"/>
    <w:rsid w:val="000D08AE"/>
    <w:rsid w:val="000D3AD9"/>
    <w:rsid w:val="000D7041"/>
    <w:rsid w:val="000E061B"/>
    <w:rsid w:val="000E0FD0"/>
    <w:rsid w:val="000E155F"/>
    <w:rsid w:val="000E31C1"/>
    <w:rsid w:val="000F1449"/>
    <w:rsid w:val="000F1F5D"/>
    <w:rsid w:val="000F3761"/>
    <w:rsid w:val="001023D1"/>
    <w:rsid w:val="00102E56"/>
    <w:rsid w:val="001047CC"/>
    <w:rsid w:val="00106E34"/>
    <w:rsid w:val="00112A3C"/>
    <w:rsid w:val="00115404"/>
    <w:rsid w:val="0011768B"/>
    <w:rsid w:val="00117B24"/>
    <w:rsid w:val="00123C77"/>
    <w:rsid w:val="00125BFA"/>
    <w:rsid w:val="00126770"/>
    <w:rsid w:val="00132451"/>
    <w:rsid w:val="00133AEB"/>
    <w:rsid w:val="00136213"/>
    <w:rsid w:val="00141640"/>
    <w:rsid w:val="00141B66"/>
    <w:rsid w:val="0014308C"/>
    <w:rsid w:val="00150040"/>
    <w:rsid w:val="00150C2D"/>
    <w:rsid w:val="001510E0"/>
    <w:rsid w:val="00151560"/>
    <w:rsid w:val="001535EA"/>
    <w:rsid w:val="001543C3"/>
    <w:rsid w:val="001546A8"/>
    <w:rsid w:val="00157D2C"/>
    <w:rsid w:val="00163A37"/>
    <w:rsid w:val="00166568"/>
    <w:rsid w:val="00167CBE"/>
    <w:rsid w:val="00170BEA"/>
    <w:rsid w:val="00171679"/>
    <w:rsid w:val="0017255A"/>
    <w:rsid w:val="00172A27"/>
    <w:rsid w:val="00175B31"/>
    <w:rsid w:val="001804B8"/>
    <w:rsid w:val="00180EB8"/>
    <w:rsid w:val="00183528"/>
    <w:rsid w:val="001837B8"/>
    <w:rsid w:val="00184720"/>
    <w:rsid w:val="00184BDA"/>
    <w:rsid w:val="00190F08"/>
    <w:rsid w:val="00192C62"/>
    <w:rsid w:val="00197BDE"/>
    <w:rsid w:val="001A10B9"/>
    <w:rsid w:val="001A118D"/>
    <w:rsid w:val="001A3376"/>
    <w:rsid w:val="001A72C6"/>
    <w:rsid w:val="001B0C3A"/>
    <w:rsid w:val="001B2287"/>
    <w:rsid w:val="001B311E"/>
    <w:rsid w:val="001B6F86"/>
    <w:rsid w:val="001C0C08"/>
    <w:rsid w:val="001C2E1E"/>
    <w:rsid w:val="001C3B56"/>
    <w:rsid w:val="001D0E1C"/>
    <w:rsid w:val="001D5338"/>
    <w:rsid w:val="001D64DB"/>
    <w:rsid w:val="001D7240"/>
    <w:rsid w:val="001E16C7"/>
    <w:rsid w:val="001E1910"/>
    <w:rsid w:val="001E2241"/>
    <w:rsid w:val="001E3789"/>
    <w:rsid w:val="001E41D9"/>
    <w:rsid w:val="001F1541"/>
    <w:rsid w:val="001F33A3"/>
    <w:rsid w:val="001F48D2"/>
    <w:rsid w:val="00201059"/>
    <w:rsid w:val="00203B4C"/>
    <w:rsid w:val="002053D1"/>
    <w:rsid w:val="00205DFD"/>
    <w:rsid w:val="002060BF"/>
    <w:rsid w:val="00206A9E"/>
    <w:rsid w:val="0021068F"/>
    <w:rsid w:val="00210C3F"/>
    <w:rsid w:val="00216607"/>
    <w:rsid w:val="00221DEE"/>
    <w:rsid w:val="00227413"/>
    <w:rsid w:val="0023226E"/>
    <w:rsid w:val="00232497"/>
    <w:rsid w:val="002429E3"/>
    <w:rsid w:val="00244F5D"/>
    <w:rsid w:val="002471B0"/>
    <w:rsid w:val="002472E0"/>
    <w:rsid w:val="00250CC0"/>
    <w:rsid w:val="00250D01"/>
    <w:rsid w:val="00252184"/>
    <w:rsid w:val="00253DA2"/>
    <w:rsid w:val="00254CD4"/>
    <w:rsid w:val="00256518"/>
    <w:rsid w:val="00273414"/>
    <w:rsid w:val="0027465C"/>
    <w:rsid w:val="002765A0"/>
    <w:rsid w:val="002775AA"/>
    <w:rsid w:val="002812E8"/>
    <w:rsid w:val="002820DE"/>
    <w:rsid w:val="00282CCE"/>
    <w:rsid w:val="0028343E"/>
    <w:rsid w:val="002837DC"/>
    <w:rsid w:val="00286166"/>
    <w:rsid w:val="00286E0B"/>
    <w:rsid w:val="00290202"/>
    <w:rsid w:val="002914C2"/>
    <w:rsid w:val="00291B4F"/>
    <w:rsid w:val="00291E14"/>
    <w:rsid w:val="00292037"/>
    <w:rsid w:val="0029287F"/>
    <w:rsid w:val="00295A8F"/>
    <w:rsid w:val="00295C51"/>
    <w:rsid w:val="00296F15"/>
    <w:rsid w:val="002A18B1"/>
    <w:rsid w:val="002A585B"/>
    <w:rsid w:val="002B48EA"/>
    <w:rsid w:val="002B4A11"/>
    <w:rsid w:val="002B536E"/>
    <w:rsid w:val="002B632C"/>
    <w:rsid w:val="002B719A"/>
    <w:rsid w:val="002B7702"/>
    <w:rsid w:val="002C02B9"/>
    <w:rsid w:val="002C2BC9"/>
    <w:rsid w:val="002C4C8C"/>
    <w:rsid w:val="002C6A43"/>
    <w:rsid w:val="002C74CA"/>
    <w:rsid w:val="002D114A"/>
    <w:rsid w:val="002D51B7"/>
    <w:rsid w:val="002E1B2E"/>
    <w:rsid w:val="002E5A12"/>
    <w:rsid w:val="002E7643"/>
    <w:rsid w:val="002E7A05"/>
    <w:rsid w:val="002F0B86"/>
    <w:rsid w:val="002F1DE2"/>
    <w:rsid w:val="002F2F38"/>
    <w:rsid w:val="002F6186"/>
    <w:rsid w:val="003004F5"/>
    <w:rsid w:val="00300D46"/>
    <w:rsid w:val="0030305D"/>
    <w:rsid w:val="00305216"/>
    <w:rsid w:val="0031681E"/>
    <w:rsid w:val="003229F6"/>
    <w:rsid w:val="00322EBF"/>
    <w:rsid w:val="00324291"/>
    <w:rsid w:val="00330119"/>
    <w:rsid w:val="00330B28"/>
    <w:rsid w:val="00330E92"/>
    <w:rsid w:val="00331DDF"/>
    <w:rsid w:val="003347B8"/>
    <w:rsid w:val="003361B5"/>
    <w:rsid w:val="0033662C"/>
    <w:rsid w:val="00341B82"/>
    <w:rsid w:val="00342E97"/>
    <w:rsid w:val="00345F0C"/>
    <w:rsid w:val="00346922"/>
    <w:rsid w:val="003567C9"/>
    <w:rsid w:val="00357961"/>
    <w:rsid w:val="00357975"/>
    <w:rsid w:val="00362AC0"/>
    <w:rsid w:val="00362FE6"/>
    <w:rsid w:val="003644B4"/>
    <w:rsid w:val="0036566E"/>
    <w:rsid w:val="0036595E"/>
    <w:rsid w:val="00367831"/>
    <w:rsid w:val="00370458"/>
    <w:rsid w:val="003747DB"/>
    <w:rsid w:val="00376482"/>
    <w:rsid w:val="00376781"/>
    <w:rsid w:val="00376F98"/>
    <w:rsid w:val="003779C5"/>
    <w:rsid w:val="00380B98"/>
    <w:rsid w:val="00382E28"/>
    <w:rsid w:val="0038498F"/>
    <w:rsid w:val="00387C84"/>
    <w:rsid w:val="0039124B"/>
    <w:rsid w:val="00395CDB"/>
    <w:rsid w:val="003A05BF"/>
    <w:rsid w:val="003A3D37"/>
    <w:rsid w:val="003A4E39"/>
    <w:rsid w:val="003A62B1"/>
    <w:rsid w:val="003A66D3"/>
    <w:rsid w:val="003B4E56"/>
    <w:rsid w:val="003B5F3F"/>
    <w:rsid w:val="003C0FD8"/>
    <w:rsid w:val="003C41D8"/>
    <w:rsid w:val="003C509D"/>
    <w:rsid w:val="003C525F"/>
    <w:rsid w:val="003C5682"/>
    <w:rsid w:val="003D33E1"/>
    <w:rsid w:val="003D5A65"/>
    <w:rsid w:val="003E03F9"/>
    <w:rsid w:val="003E0FC5"/>
    <w:rsid w:val="003E1C6F"/>
    <w:rsid w:val="003E2CBB"/>
    <w:rsid w:val="003E452E"/>
    <w:rsid w:val="003F5F36"/>
    <w:rsid w:val="00400454"/>
    <w:rsid w:val="0040141E"/>
    <w:rsid w:val="00402E39"/>
    <w:rsid w:val="00403B7A"/>
    <w:rsid w:val="00404208"/>
    <w:rsid w:val="00405115"/>
    <w:rsid w:val="00405915"/>
    <w:rsid w:val="00405D1F"/>
    <w:rsid w:val="00410232"/>
    <w:rsid w:val="00410C43"/>
    <w:rsid w:val="004138AA"/>
    <w:rsid w:val="004238ED"/>
    <w:rsid w:val="004242C7"/>
    <w:rsid w:val="00424BF9"/>
    <w:rsid w:val="0042539A"/>
    <w:rsid w:val="00431434"/>
    <w:rsid w:val="00432272"/>
    <w:rsid w:val="004345C5"/>
    <w:rsid w:val="00450A58"/>
    <w:rsid w:val="004554B5"/>
    <w:rsid w:val="00461715"/>
    <w:rsid w:val="00461C0D"/>
    <w:rsid w:val="0046354F"/>
    <w:rsid w:val="00467B83"/>
    <w:rsid w:val="004702CF"/>
    <w:rsid w:val="0047296E"/>
    <w:rsid w:val="00473946"/>
    <w:rsid w:val="00473D25"/>
    <w:rsid w:val="00473F87"/>
    <w:rsid w:val="00474910"/>
    <w:rsid w:val="00476B91"/>
    <w:rsid w:val="0048153F"/>
    <w:rsid w:val="004831DF"/>
    <w:rsid w:val="00483228"/>
    <w:rsid w:val="004848D9"/>
    <w:rsid w:val="004857F0"/>
    <w:rsid w:val="00485A2F"/>
    <w:rsid w:val="00485CFB"/>
    <w:rsid w:val="00487669"/>
    <w:rsid w:val="0049062D"/>
    <w:rsid w:val="00491A74"/>
    <w:rsid w:val="00493F46"/>
    <w:rsid w:val="00497465"/>
    <w:rsid w:val="0049773F"/>
    <w:rsid w:val="004A27C6"/>
    <w:rsid w:val="004A6CD9"/>
    <w:rsid w:val="004A6E47"/>
    <w:rsid w:val="004A7C26"/>
    <w:rsid w:val="004B6A6C"/>
    <w:rsid w:val="004B7454"/>
    <w:rsid w:val="004B767F"/>
    <w:rsid w:val="004B7E28"/>
    <w:rsid w:val="004D1EB8"/>
    <w:rsid w:val="004D21F1"/>
    <w:rsid w:val="004D4536"/>
    <w:rsid w:val="004E0D88"/>
    <w:rsid w:val="004E40DA"/>
    <w:rsid w:val="004F043F"/>
    <w:rsid w:val="004F1972"/>
    <w:rsid w:val="004F1CDB"/>
    <w:rsid w:val="004F2A09"/>
    <w:rsid w:val="004F6109"/>
    <w:rsid w:val="004F6864"/>
    <w:rsid w:val="00500356"/>
    <w:rsid w:val="0050235E"/>
    <w:rsid w:val="0050692E"/>
    <w:rsid w:val="005070AA"/>
    <w:rsid w:val="00507338"/>
    <w:rsid w:val="00507A26"/>
    <w:rsid w:val="005220E3"/>
    <w:rsid w:val="00524621"/>
    <w:rsid w:val="00527114"/>
    <w:rsid w:val="00535569"/>
    <w:rsid w:val="0054192C"/>
    <w:rsid w:val="00543537"/>
    <w:rsid w:val="00544049"/>
    <w:rsid w:val="005442EF"/>
    <w:rsid w:val="00544339"/>
    <w:rsid w:val="00547F14"/>
    <w:rsid w:val="00552DF9"/>
    <w:rsid w:val="005539F6"/>
    <w:rsid w:val="005558C2"/>
    <w:rsid w:val="00562249"/>
    <w:rsid w:val="0056230A"/>
    <w:rsid w:val="00563240"/>
    <w:rsid w:val="005701F2"/>
    <w:rsid w:val="00575A95"/>
    <w:rsid w:val="00576F09"/>
    <w:rsid w:val="00580DBC"/>
    <w:rsid w:val="00581DB1"/>
    <w:rsid w:val="0059045B"/>
    <w:rsid w:val="00591C1B"/>
    <w:rsid w:val="005927A9"/>
    <w:rsid w:val="005929C0"/>
    <w:rsid w:val="005934C3"/>
    <w:rsid w:val="00593A66"/>
    <w:rsid w:val="00595BE5"/>
    <w:rsid w:val="00596E23"/>
    <w:rsid w:val="00596E29"/>
    <w:rsid w:val="00597617"/>
    <w:rsid w:val="005A146C"/>
    <w:rsid w:val="005A3FC9"/>
    <w:rsid w:val="005A4F0D"/>
    <w:rsid w:val="005A5175"/>
    <w:rsid w:val="005A6424"/>
    <w:rsid w:val="005B5584"/>
    <w:rsid w:val="005B7064"/>
    <w:rsid w:val="005C05F3"/>
    <w:rsid w:val="005C2D5C"/>
    <w:rsid w:val="005C3E99"/>
    <w:rsid w:val="005C48C9"/>
    <w:rsid w:val="005C4D91"/>
    <w:rsid w:val="005C4E24"/>
    <w:rsid w:val="005C693F"/>
    <w:rsid w:val="005C6B81"/>
    <w:rsid w:val="005D5A95"/>
    <w:rsid w:val="005E0B72"/>
    <w:rsid w:val="005E1160"/>
    <w:rsid w:val="005E2055"/>
    <w:rsid w:val="005E4920"/>
    <w:rsid w:val="005E61AF"/>
    <w:rsid w:val="005F23ED"/>
    <w:rsid w:val="005F2980"/>
    <w:rsid w:val="00601A76"/>
    <w:rsid w:val="00604823"/>
    <w:rsid w:val="00607F88"/>
    <w:rsid w:val="006127CF"/>
    <w:rsid w:val="00613A32"/>
    <w:rsid w:val="00615BAE"/>
    <w:rsid w:val="00616A09"/>
    <w:rsid w:val="00616E7C"/>
    <w:rsid w:val="00620C7B"/>
    <w:rsid w:val="00622C5A"/>
    <w:rsid w:val="006270D8"/>
    <w:rsid w:val="00630F40"/>
    <w:rsid w:val="006320C3"/>
    <w:rsid w:val="00632253"/>
    <w:rsid w:val="00633198"/>
    <w:rsid w:val="00634A43"/>
    <w:rsid w:val="00635419"/>
    <w:rsid w:val="0063668F"/>
    <w:rsid w:val="00636D68"/>
    <w:rsid w:val="0063796B"/>
    <w:rsid w:val="00637A2F"/>
    <w:rsid w:val="00641034"/>
    <w:rsid w:val="006411EE"/>
    <w:rsid w:val="0064287A"/>
    <w:rsid w:val="0064326B"/>
    <w:rsid w:val="0064371B"/>
    <w:rsid w:val="00647CCB"/>
    <w:rsid w:val="0065066F"/>
    <w:rsid w:val="006540E7"/>
    <w:rsid w:val="006544C2"/>
    <w:rsid w:val="00654DE8"/>
    <w:rsid w:val="006565E2"/>
    <w:rsid w:val="00656E0D"/>
    <w:rsid w:val="0066038F"/>
    <w:rsid w:val="00660405"/>
    <w:rsid w:val="00662077"/>
    <w:rsid w:val="006648D7"/>
    <w:rsid w:val="006666B4"/>
    <w:rsid w:val="00670C8F"/>
    <w:rsid w:val="00674B8A"/>
    <w:rsid w:val="00674FCD"/>
    <w:rsid w:val="0067518B"/>
    <w:rsid w:val="00676259"/>
    <w:rsid w:val="00676DEC"/>
    <w:rsid w:val="00677472"/>
    <w:rsid w:val="00683399"/>
    <w:rsid w:val="00690104"/>
    <w:rsid w:val="0069136E"/>
    <w:rsid w:val="00692319"/>
    <w:rsid w:val="006935A4"/>
    <w:rsid w:val="006A3584"/>
    <w:rsid w:val="006A613B"/>
    <w:rsid w:val="006B20F3"/>
    <w:rsid w:val="006B233C"/>
    <w:rsid w:val="006B666B"/>
    <w:rsid w:val="006B73B9"/>
    <w:rsid w:val="006B744B"/>
    <w:rsid w:val="006B79DC"/>
    <w:rsid w:val="006C106F"/>
    <w:rsid w:val="006C1500"/>
    <w:rsid w:val="006C44DE"/>
    <w:rsid w:val="006C5889"/>
    <w:rsid w:val="006C5BC9"/>
    <w:rsid w:val="006C6145"/>
    <w:rsid w:val="006C6DCE"/>
    <w:rsid w:val="006D1FDF"/>
    <w:rsid w:val="006D2EA4"/>
    <w:rsid w:val="006D388E"/>
    <w:rsid w:val="006D51F0"/>
    <w:rsid w:val="006E011F"/>
    <w:rsid w:val="006E1032"/>
    <w:rsid w:val="006E166C"/>
    <w:rsid w:val="006E1DB4"/>
    <w:rsid w:val="006E421D"/>
    <w:rsid w:val="006E650F"/>
    <w:rsid w:val="006E74FB"/>
    <w:rsid w:val="006E7AAD"/>
    <w:rsid w:val="006F1DA7"/>
    <w:rsid w:val="006F3E2F"/>
    <w:rsid w:val="006F4FAB"/>
    <w:rsid w:val="006F7AE3"/>
    <w:rsid w:val="007010DC"/>
    <w:rsid w:val="00701112"/>
    <w:rsid w:val="00703372"/>
    <w:rsid w:val="00707BFE"/>
    <w:rsid w:val="007127D3"/>
    <w:rsid w:val="00714CE9"/>
    <w:rsid w:val="0072028C"/>
    <w:rsid w:val="0072374D"/>
    <w:rsid w:val="00724619"/>
    <w:rsid w:val="00732AC5"/>
    <w:rsid w:val="00734633"/>
    <w:rsid w:val="0073663E"/>
    <w:rsid w:val="00737766"/>
    <w:rsid w:val="007404D4"/>
    <w:rsid w:val="00744D36"/>
    <w:rsid w:val="00745231"/>
    <w:rsid w:val="00751735"/>
    <w:rsid w:val="00751F61"/>
    <w:rsid w:val="0075229A"/>
    <w:rsid w:val="007532A2"/>
    <w:rsid w:val="00755E80"/>
    <w:rsid w:val="007573E4"/>
    <w:rsid w:val="00757456"/>
    <w:rsid w:val="0076009A"/>
    <w:rsid w:val="00761430"/>
    <w:rsid w:val="00764B66"/>
    <w:rsid w:val="00770708"/>
    <w:rsid w:val="00771D86"/>
    <w:rsid w:val="00774BBA"/>
    <w:rsid w:val="00780547"/>
    <w:rsid w:val="007807BC"/>
    <w:rsid w:val="007833E6"/>
    <w:rsid w:val="007869D9"/>
    <w:rsid w:val="00787C27"/>
    <w:rsid w:val="00791AEA"/>
    <w:rsid w:val="00791D8E"/>
    <w:rsid w:val="007921CE"/>
    <w:rsid w:val="007940D6"/>
    <w:rsid w:val="00795C10"/>
    <w:rsid w:val="0079741F"/>
    <w:rsid w:val="00797B6B"/>
    <w:rsid w:val="007A314C"/>
    <w:rsid w:val="007A636B"/>
    <w:rsid w:val="007A68E7"/>
    <w:rsid w:val="007A6F62"/>
    <w:rsid w:val="007B4375"/>
    <w:rsid w:val="007B48DC"/>
    <w:rsid w:val="007B51BF"/>
    <w:rsid w:val="007B5B18"/>
    <w:rsid w:val="007B79F4"/>
    <w:rsid w:val="007C13F2"/>
    <w:rsid w:val="007C5FFE"/>
    <w:rsid w:val="007C6D1F"/>
    <w:rsid w:val="007C7550"/>
    <w:rsid w:val="007D3AAE"/>
    <w:rsid w:val="007D3FFD"/>
    <w:rsid w:val="007D68F9"/>
    <w:rsid w:val="007D78AC"/>
    <w:rsid w:val="007E0368"/>
    <w:rsid w:val="007E0B96"/>
    <w:rsid w:val="007F14C7"/>
    <w:rsid w:val="007F34B3"/>
    <w:rsid w:val="007F645E"/>
    <w:rsid w:val="007F6684"/>
    <w:rsid w:val="00803743"/>
    <w:rsid w:val="008044CA"/>
    <w:rsid w:val="00804AB3"/>
    <w:rsid w:val="0080725F"/>
    <w:rsid w:val="00807456"/>
    <w:rsid w:val="008149B6"/>
    <w:rsid w:val="008208D2"/>
    <w:rsid w:val="00820C89"/>
    <w:rsid w:val="00822600"/>
    <w:rsid w:val="0082606F"/>
    <w:rsid w:val="00831384"/>
    <w:rsid w:val="00834364"/>
    <w:rsid w:val="00834EF9"/>
    <w:rsid w:val="00835315"/>
    <w:rsid w:val="0083569C"/>
    <w:rsid w:val="008377A2"/>
    <w:rsid w:val="00841F61"/>
    <w:rsid w:val="0084425C"/>
    <w:rsid w:val="008458E2"/>
    <w:rsid w:val="00845955"/>
    <w:rsid w:val="008462F6"/>
    <w:rsid w:val="008500AB"/>
    <w:rsid w:val="00852345"/>
    <w:rsid w:val="008546E6"/>
    <w:rsid w:val="0085478D"/>
    <w:rsid w:val="00856702"/>
    <w:rsid w:val="0085726F"/>
    <w:rsid w:val="00862600"/>
    <w:rsid w:val="008630FF"/>
    <w:rsid w:val="0086394A"/>
    <w:rsid w:val="008647CC"/>
    <w:rsid w:val="008707D2"/>
    <w:rsid w:val="00873A64"/>
    <w:rsid w:val="00880A9B"/>
    <w:rsid w:val="00882C89"/>
    <w:rsid w:val="00882E5A"/>
    <w:rsid w:val="00884C05"/>
    <w:rsid w:val="008902AD"/>
    <w:rsid w:val="00893233"/>
    <w:rsid w:val="00894037"/>
    <w:rsid w:val="00894D81"/>
    <w:rsid w:val="0089548B"/>
    <w:rsid w:val="008A1CDB"/>
    <w:rsid w:val="008A7927"/>
    <w:rsid w:val="008B1FB3"/>
    <w:rsid w:val="008B38F7"/>
    <w:rsid w:val="008B3CA2"/>
    <w:rsid w:val="008B45EE"/>
    <w:rsid w:val="008B6151"/>
    <w:rsid w:val="008B63A0"/>
    <w:rsid w:val="008B656B"/>
    <w:rsid w:val="008B7912"/>
    <w:rsid w:val="008C0AA5"/>
    <w:rsid w:val="008C71BE"/>
    <w:rsid w:val="008D608F"/>
    <w:rsid w:val="008D7086"/>
    <w:rsid w:val="008E38DE"/>
    <w:rsid w:val="008E5B3E"/>
    <w:rsid w:val="008E7B17"/>
    <w:rsid w:val="008F20F7"/>
    <w:rsid w:val="008F3091"/>
    <w:rsid w:val="008F3AA5"/>
    <w:rsid w:val="008F6BC0"/>
    <w:rsid w:val="009055BE"/>
    <w:rsid w:val="00914314"/>
    <w:rsid w:val="00917799"/>
    <w:rsid w:val="009207EF"/>
    <w:rsid w:val="00921322"/>
    <w:rsid w:val="009220BA"/>
    <w:rsid w:val="00923D3E"/>
    <w:rsid w:val="009255ED"/>
    <w:rsid w:val="00927EE3"/>
    <w:rsid w:val="00930C10"/>
    <w:rsid w:val="00931E97"/>
    <w:rsid w:val="00934C55"/>
    <w:rsid w:val="009351FE"/>
    <w:rsid w:val="00936104"/>
    <w:rsid w:val="00943270"/>
    <w:rsid w:val="009508A9"/>
    <w:rsid w:val="009533E1"/>
    <w:rsid w:val="009558B1"/>
    <w:rsid w:val="009568B3"/>
    <w:rsid w:val="00964A7B"/>
    <w:rsid w:val="00965AC1"/>
    <w:rsid w:val="00972F23"/>
    <w:rsid w:val="00972FE0"/>
    <w:rsid w:val="00974A8A"/>
    <w:rsid w:val="00974C35"/>
    <w:rsid w:val="009752F0"/>
    <w:rsid w:val="0098075D"/>
    <w:rsid w:val="00980E7F"/>
    <w:rsid w:val="0098605A"/>
    <w:rsid w:val="0098773A"/>
    <w:rsid w:val="00990AA3"/>
    <w:rsid w:val="0099639C"/>
    <w:rsid w:val="009A1B91"/>
    <w:rsid w:val="009A2157"/>
    <w:rsid w:val="009A29FA"/>
    <w:rsid w:val="009B02D9"/>
    <w:rsid w:val="009B71CC"/>
    <w:rsid w:val="009C0005"/>
    <w:rsid w:val="009C05F7"/>
    <w:rsid w:val="009C131F"/>
    <w:rsid w:val="009C367D"/>
    <w:rsid w:val="009C38A4"/>
    <w:rsid w:val="009C3FF4"/>
    <w:rsid w:val="009C6584"/>
    <w:rsid w:val="009C7E00"/>
    <w:rsid w:val="009D09A5"/>
    <w:rsid w:val="009D111A"/>
    <w:rsid w:val="009D2223"/>
    <w:rsid w:val="009D28AC"/>
    <w:rsid w:val="009D4992"/>
    <w:rsid w:val="009D6401"/>
    <w:rsid w:val="009E2396"/>
    <w:rsid w:val="009E265E"/>
    <w:rsid w:val="009E4882"/>
    <w:rsid w:val="009F095A"/>
    <w:rsid w:val="009F1A85"/>
    <w:rsid w:val="009F27A1"/>
    <w:rsid w:val="00A007B0"/>
    <w:rsid w:val="00A01056"/>
    <w:rsid w:val="00A02C88"/>
    <w:rsid w:val="00A0397E"/>
    <w:rsid w:val="00A03DD2"/>
    <w:rsid w:val="00A04CB1"/>
    <w:rsid w:val="00A0615B"/>
    <w:rsid w:val="00A11AB4"/>
    <w:rsid w:val="00A12290"/>
    <w:rsid w:val="00A13D8B"/>
    <w:rsid w:val="00A168C7"/>
    <w:rsid w:val="00A17B83"/>
    <w:rsid w:val="00A234A0"/>
    <w:rsid w:val="00A24F4B"/>
    <w:rsid w:val="00A266AE"/>
    <w:rsid w:val="00A26748"/>
    <w:rsid w:val="00A30493"/>
    <w:rsid w:val="00A30FF0"/>
    <w:rsid w:val="00A336F4"/>
    <w:rsid w:val="00A33DE4"/>
    <w:rsid w:val="00A3539C"/>
    <w:rsid w:val="00A3571A"/>
    <w:rsid w:val="00A42502"/>
    <w:rsid w:val="00A42DC2"/>
    <w:rsid w:val="00A42EFD"/>
    <w:rsid w:val="00A42F65"/>
    <w:rsid w:val="00A45B2F"/>
    <w:rsid w:val="00A53B40"/>
    <w:rsid w:val="00A5602C"/>
    <w:rsid w:val="00A57C11"/>
    <w:rsid w:val="00A57F2F"/>
    <w:rsid w:val="00A62600"/>
    <w:rsid w:val="00A63E69"/>
    <w:rsid w:val="00A66070"/>
    <w:rsid w:val="00A741E0"/>
    <w:rsid w:val="00A75389"/>
    <w:rsid w:val="00A82CBB"/>
    <w:rsid w:val="00A84C56"/>
    <w:rsid w:val="00A86616"/>
    <w:rsid w:val="00A90F21"/>
    <w:rsid w:val="00A92644"/>
    <w:rsid w:val="00A9631C"/>
    <w:rsid w:val="00AA1D6D"/>
    <w:rsid w:val="00AB4CE5"/>
    <w:rsid w:val="00AC0254"/>
    <w:rsid w:val="00AC1BEF"/>
    <w:rsid w:val="00AC23D4"/>
    <w:rsid w:val="00AC39D9"/>
    <w:rsid w:val="00AC5D09"/>
    <w:rsid w:val="00AD0597"/>
    <w:rsid w:val="00AD0BBB"/>
    <w:rsid w:val="00AD569B"/>
    <w:rsid w:val="00AD65E0"/>
    <w:rsid w:val="00AE1795"/>
    <w:rsid w:val="00AE2B2F"/>
    <w:rsid w:val="00AE4116"/>
    <w:rsid w:val="00AE66C5"/>
    <w:rsid w:val="00AF07A1"/>
    <w:rsid w:val="00AF2BE2"/>
    <w:rsid w:val="00AF330A"/>
    <w:rsid w:val="00AF4311"/>
    <w:rsid w:val="00AF48AA"/>
    <w:rsid w:val="00AF4A9B"/>
    <w:rsid w:val="00AF6683"/>
    <w:rsid w:val="00AF7976"/>
    <w:rsid w:val="00B00536"/>
    <w:rsid w:val="00B01461"/>
    <w:rsid w:val="00B07E19"/>
    <w:rsid w:val="00B1065B"/>
    <w:rsid w:val="00B10E9F"/>
    <w:rsid w:val="00B1384E"/>
    <w:rsid w:val="00B1623A"/>
    <w:rsid w:val="00B174BF"/>
    <w:rsid w:val="00B214F6"/>
    <w:rsid w:val="00B23A73"/>
    <w:rsid w:val="00B24861"/>
    <w:rsid w:val="00B248F7"/>
    <w:rsid w:val="00B24A05"/>
    <w:rsid w:val="00B25555"/>
    <w:rsid w:val="00B26D9A"/>
    <w:rsid w:val="00B27A5E"/>
    <w:rsid w:val="00B31C79"/>
    <w:rsid w:val="00B32D62"/>
    <w:rsid w:val="00B33D7F"/>
    <w:rsid w:val="00B33F9B"/>
    <w:rsid w:val="00B35D37"/>
    <w:rsid w:val="00B36EAC"/>
    <w:rsid w:val="00B403B3"/>
    <w:rsid w:val="00B410DE"/>
    <w:rsid w:val="00B414FD"/>
    <w:rsid w:val="00B42A6E"/>
    <w:rsid w:val="00B43E17"/>
    <w:rsid w:val="00B43FB5"/>
    <w:rsid w:val="00B45365"/>
    <w:rsid w:val="00B47BBF"/>
    <w:rsid w:val="00B50E91"/>
    <w:rsid w:val="00B570DD"/>
    <w:rsid w:val="00B63F51"/>
    <w:rsid w:val="00B711AF"/>
    <w:rsid w:val="00B72876"/>
    <w:rsid w:val="00B72EF0"/>
    <w:rsid w:val="00B74455"/>
    <w:rsid w:val="00B75990"/>
    <w:rsid w:val="00B82A93"/>
    <w:rsid w:val="00B83D2A"/>
    <w:rsid w:val="00B85CCB"/>
    <w:rsid w:val="00B86841"/>
    <w:rsid w:val="00B86DDF"/>
    <w:rsid w:val="00B92F00"/>
    <w:rsid w:val="00B9489D"/>
    <w:rsid w:val="00B94BEE"/>
    <w:rsid w:val="00B97B39"/>
    <w:rsid w:val="00BA4A63"/>
    <w:rsid w:val="00BA4D62"/>
    <w:rsid w:val="00BA632C"/>
    <w:rsid w:val="00BA6950"/>
    <w:rsid w:val="00BA6A47"/>
    <w:rsid w:val="00BB394D"/>
    <w:rsid w:val="00BB726C"/>
    <w:rsid w:val="00BC308F"/>
    <w:rsid w:val="00BC3BC7"/>
    <w:rsid w:val="00BC4838"/>
    <w:rsid w:val="00BC6B04"/>
    <w:rsid w:val="00BC7087"/>
    <w:rsid w:val="00BD1E43"/>
    <w:rsid w:val="00BD4F34"/>
    <w:rsid w:val="00BE278E"/>
    <w:rsid w:val="00BE415B"/>
    <w:rsid w:val="00BE4EB8"/>
    <w:rsid w:val="00BF06AB"/>
    <w:rsid w:val="00BF0AD2"/>
    <w:rsid w:val="00BF28E0"/>
    <w:rsid w:val="00BF5DF2"/>
    <w:rsid w:val="00BF63A0"/>
    <w:rsid w:val="00BF77EA"/>
    <w:rsid w:val="00C03602"/>
    <w:rsid w:val="00C052A6"/>
    <w:rsid w:val="00C073F9"/>
    <w:rsid w:val="00C10326"/>
    <w:rsid w:val="00C11D79"/>
    <w:rsid w:val="00C11EAC"/>
    <w:rsid w:val="00C14A68"/>
    <w:rsid w:val="00C21509"/>
    <w:rsid w:val="00C22E39"/>
    <w:rsid w:val="00C2385E"/>
    <w:rsid w:val="00C26AD1"/>
    <w:rsid w:val="00C270AE"/>
    <w:rsid w:val="00C27323"/>
    <w:rsid w:val="00C27F8B"/>
    <w:rsid w:val="00C327B8"/>
    <w:rsid w:val="00C3394F"/>
    <w:rsid w:val="00C37430"/>
    <w:rsid w:val="00C428B8"/>
    <w:rsid w:val="00C44191"/>
    <w:rsid w:val="00C521A3"/>
    <w:rsid w:val="00C53442"/>
    <w:rsid w:val="00C53F9E"/>
    <w:rsid w:val="00C5581B"/>
    <w:rsid w:val="00C57FF6"/>
    <w:rsid w:val="00C61EF6"/>
    <w:rsid w:val="00C65B57"/>
    <w:rsid w:val="00C67521"/>
    <w:rsid w:val="00C70897"/>
    <w:rsid w:val="00C8219D"/>
    <w:rsid w:val="00C828F0"/>
    <w:rsid w:val="00C84C96"/>
    <w:rsid w:val="00C87895"/>
    <w:rsid w:val="00C92D34"/>
    <w:rsid w:val="00C9428D"/>
    <w:rsid w:val="00C9441A"/>
    <w:rsid w:val="00C960DC"/>
    <w:rsid w:val="00C96C98"/>
    <w:rsid w:val="00C972F3"/>
    <w:rsid w:val="00C97D8D"/>
    <w:rsid w:val="00CA1B43"/>
    <w:rsid w:val="00CA5E01"/>
    <w:rsid w:val="00CA6FD2"/>
    <w:rsid w:val="00CB05E0"/>
    <w:rsid w:val="00CB1A35"/>
    <w:rsid w:val="00CB3F80"/>
    <w:rsid w:val="00CB68BC"/>
    <w:rsid w:val="00CC1F4F"/>
    <w:rsid w:val="00CC36B7"/>
    <w:rsid w:val="00CC749B"/>
    <w:rsid w:val="00CD1015"/>
    <w:rsid w:val="00CD1120"/>
    <w:rsid w:val="00CD2545"/>
    <w:rsid w:val="00CD5B22"/>
    <w:rsid w:val="00CD6299"/>
    <w:rsid w:val="00CD62B4"/>
    <w:rsid w:val="00CD7C16"/>
    <w:rsid w:val="00CE091C"/>
    <w:rsid w:val="00CE410B"/>
    <w:rsid w:val="00CE58D0"/>
    <w:rsid w:val="00CE728E"/>
    <w:rsid w:val="00D0111D"/>
    <w:rsid w:val="00D0442E"/>
    <w:rsid w:val="00D0754A"/>
    <w:rsid w:val="00D07EB1"/>
    <w:rsid w:val="00D127C1"/>
    <w:rsid w:val="00D1299E"/>
    <w:rsid w:val="00D16EBD"/>
    <w:rsid w:val="00D16F6F"/>
    <w:rsid w:val="00D1731A"/>
    <w:rsid w:val="00D20144"/>
    <w:rsid w:val="00D219F2"/>
    <w:rsid w:val="00D2270F"/>
    <w:rsid w:val="00D33189"/>
    <w:rsid w:val="00D35858"/>
    <w:rsid w:val="00D36908"/>
    <w:rsid w:val="00D3758C"/>
    <w:rsid w:val="00D376A4"/>
    <w:rsid w:val="00D42DE8"/>
    <w:rsid w:val="00D50474"/>
    <w:rsid w:val="00D520EF"/>
    <w:rsid w:val="00D52CAF"/>
    <w:rsid w:val="00D5464A"/>
    <w:rsid w:val="00D55B61"/>
    <w:rsid w:val="00D56083"/>
    <w:rsid w:val="00D61231"/>
    <w:rsid w:val="00D61674"/>
    <w:rsid w:val="00D6243F"/>
    <w:rsid w:val="00D62B06"/>
    <w:rsid w:val="00D63D0D"/>
    <w:rsid w:val="00D645B0"/>
    <w:rsid w:val="00D66387"/>
    <w:rsid w:val="00D67448"/>
    <w:rsid w:val="00D67D54"/>
    <w:rsid w:val="00D712BD"/>
    <w:rsid w:val="00D72451"/>
    <w:rsid w:val="00D725D6"/>
    <w:rsid w:val="00D744D2"/>
    <w:rsid w:val="00D773D8"/>
    <w:rsid w:val="00D8205C"/>
    <w:rsid w:val="00D82D73"/>
    <w:rsid w:val="00D83879"/>
    <w:rsid w:val="00D84A73"/>
    <w:rsid w:val="00D87D96"/>
    <w:rsid w:val="00D9221D"/>
    <w:rsid w:val="00DA24CB"/>
    <w:rsid w:val="00DA2EDB"/>
    <w:rsid w:val="00DA6CC2"/>
    <w:rsid w:val="00DA73B9"/>
    <w:rsid w:val="00DB0D27"/>
    <w:rsid w:val="00DB1EFC"/>
    <w:rsid w:val="00DB43C1"/>
    <w:rsid w:val="00DB5939"/>
    <w:rsid w:val="00DC057A"/>
    <w:rsid w:val="00DC13B3"/>
    <w:rsid w:val="00DC1B5C"/>
    <w:rsid w:val="00DC1BD0"/>
    <w:rsid w:val="00DC2EB6"/>
    <w:rsid w:val="00DC320A"/>
    <w:rsid w:val="00DC36F2"/>
    <w:rsid w:val="00DC4BD4"/>
    <w:rsid w:val="00DC5BAB"/>
    <w:rsid w:val="00DC5F73"/>
    <w:rsid w:val="00DC7B21"/>
    <w:rsid w:val="00DD0297"/>
    <w:rsid w:val="00DD0645"/>
    <w:rsid w:val="00DD657F"/>
    <w:rsid w:val="00DE5FD2"/>
    <w:rsid w:val="00DE6011"/>
    <w:rsid w:val="00DE6051"/>
    <w:rsid w:val="00DE6F89"/>
    <w:rsid w:val="00DF1741"/>
    <w:rsid w:val="00DF557D"/>
    <w:rsid w:val="00DF63F4"/>
    <w:rsid w:val="00DF660F"/>
    <w:rsid w:val="00E0027B"/>
    <w:rsid w:val="00E04113"/>
    <w:rsid w:val="00E04887"/>
    <w:rsid w:val="00E0495C"/>
    <w:rsid w:val="00E05B0D"/>
    <w:rsid w:val="00E07283"/>
    <w:rsid w:val="00E11124"/>
    <w:rsid w:val="00E11C1F"/>
    <w:rsid w:val="00E148C1"/>
    <w:rsid w:val="00E15338"/>
    <w:rsid w:val="00E15923"/>
    <w:rsid w:val="00E2477C"/>
    <w:rsid w:val="00E3086F"/>
    <w:rsid w:val="00E31DAF"/>
    <w:rsid w:val="00E3510C"/>
    <w:rsid w:val="00E363FF"/>
    <w:rsid w:val="00E47422"/>
    <w:rsid w:val="00E50E68"/>
    <w:rsid w:val="00E570F2"/>
    <w:rsid w:val="00E608EA"/>
    <w:rsid w:val="00E60D8B"/>
    <w:rsid w:val="00E61447"/>
    <w:rsid w:val="00E70965"/>
    <w:rsid w:val="00E72D33"/>
    <w:rsid w:val="00E72E0C"/>
    <w:rsid w:val="00E7512E"/>
    <w:rsid w:val="00E75A4B"/>
    <w:rsid w:val="00E76E07"/>
    <w:rsid w:val="00E83D0B"/>
    <w:rsid w:val="00E864A6"/>
    <w:rsid w:val="00E91331"/>
    <w:rsid w:val="00E95F95"/>
    <w:rsid w:val="00EA2C97"/>
    <w:rsid w:val="00EA4448"/>
    <w:rsid w:val="00EA660D"/>
    <w:rsid w:val="00EA6828"/>
    <w:rsid w:val="00EA6E78"/>
    <w:rsid w:val="00EB0A6B"/>
    <w:rsid w:val="00EB1EE9"/>
    <w:rsid w:val="00EB7027"/>
    <w:rsid w:val="00EC4898"/>
    <w:rsid w:val="00EC6EBA"/>
    <w:rsid w:val="00ED408F"/>
    <w:rsid w:val="00EE0C56"/>
    <w:rsid w:val="00EE49E4"/>
    <w:rsid w:val="00EE7036"/>
    <w:rsid w:val="00EF348B"/>
    <w:rsid w:val="00EF412A"/>
    <w:rsid w:val="00EF41FC"/>
    <w:rsid w:val="00EF5567"/>
    <w:rsid w:val="00EF792F"/>
    <w:rsid w:val="00EF7B03"/>
    <w:rsid w:val="00F045F4"/>
    <w:rsid w:val="00F13581"/>
    <w:rsid w:val="00F155A4"/>
    <w:rsid w:val="00F23F91"/>
    <w:rsid w:val="00F241BD"/>
    <w:rsid w:val="00F24749"/>
    <w:rsid w:val="00F25773"/>
    <w:rsid w:val="00F26741"/>
    <w:rsid w:val="00F27688"/>
    <w:rsid w:val="00F30EB8"/>
    <w:rsid w:val="00F3139E"/>
    <w:rsid w:val="00F3142C"/>
    <w:rsid w:val="00F33F21"/>
    <w:rsid w:val="00F34A61"/>
    <w:rsid w:val="00F3684A"/>
    <w:rsid w:val="00F36FF5"/>
    <w:rsid w:val="00F373D0"/>
    <w:rsid w:val="00F41937"/>
    <w:rsid w:val="00F507C6"/>
    <w:rsid w:val="00F5111F"/>
    <w:rsid w:val="00F5687E"/>
    <w:rsid w:val="00F64D69"/>
    <w:rsid w:val="00F70613"/>
    <w:rsid w:val="00F71DDA"/>
    <w:rsid w:val="00F72A3A"/>
    <w:rsid w:val="00F744A8"/>
    <w:rsid w:val="00F75874"/>
    <w:rsid w:val="00F7703C"/>
    <w:rsid w:val="00F901CB"/>
    <w:rsid w:val="00F9405E"/>
    <w:rsid w:val="00F94556"/>
    <w:rsid w:val="00F94A0C"/>
    <w:rsid w:val="00F95293"/>
    <w:rsid w:val="00F95710"/>
    <w:rsid w:val="00F95C55"/>
    <w:rsid w:val="00F97877"/>
    <w:rsid w:val="00FA088B"/>
    <w:rsid w:val="00FA1405"/>
    <w:rsid w:val="00FA3791"/>
    <w:rsid w:val="00FA5D51"/>
    <w:rsid w:val="00FA61D2"/>
    <w:rsid w:val="00FB0C22"/>
    <w:rsid w:val="00FB3EAD"/>
    <w:rsid w:val="00FB41C3"/>
    <w:rsid w:val="00FB5084"/>
    <w:rsid w:val="00FB6D55"/>
    <w:rsid w:val="00FB7E2C"/>
    <w:rsid w:val="00FC0DBA"/>
    <w:rsid w:val="00FC140E"/>
    <w:rsid w:val="00FC185B"/>
    <w:rsid w:val="00FC2EFD"/>
    <w:rsid w:val="00FC3F8A"/>
    <w:rsid w:val="00FC607C"/>
    <w:rsid w:val="00FC69C6"/>
    <w:rsid w:val="00FE0AB7"/>
    <w:rsid w:val="00FE157C"/>
    <w:rsid w:val="00FE2933"/>
    <w:rsid w:val="00FE39F4"/>
    <w:rsid w:val="00FE5BEA"/>
    <w:rsid w:val="00FE7461"/>
    <w:rsid w:val="00FF0E0A"/>
    <w:rsid w:val="00FF533E"/>
    <w:rsid w:val="04BE14E5"/>
    <w:rsid w:val="06210244"/>
    <w:rsid w:val="07041065"/>
    <w:rsid w:val="08C120EC"/>
    <w:rsid w:val="0CFA3905"/>
    <w:rsid w:val="0FF35A57"/>
    <w:rsid w:val="10C0352B"/>
    <w:rsid w:val="13AE369B"/>
    <w:rsid w:val="14B857C0"/>
    <w:rsid w:val="1666729A"/>
    <w:rsid w:val="1CE8490C"/>
    <w:rsid w:val="21BC764B"/>
    <w:rsid w:val="24D77770"/>
    <w:rsid w:val="2565614E"/>
    <w:rsid w:val="26683284"/>
    <w:rsid w:val="29EC0FD9"/>
    <w:rsid w:val="2D1665CC"/>
    <w:rsid w:val="34434B2A"/>
    <w:rsid w:val="34925EED"/>
    <w:rsid w:val="35C36C12"/>
    <w:rsid w:val="37FB6841"/>
    <w:rsid w:val="3B3836C7"/>
    <w:rsid w:val="3EDF7575"/>
    <w:rsid w:val="413F2883"/>
    <w:rsid w:val="457E43CC"/>
    <w:rsid w:val="4707293F"/>
    <w:rsid w:val="494F3D94"/>
    <w:rsid w:val="4E767C85"/>
    <w:rsid w:val="511B28F3"/>
    <w:rsid w:val="53196A0C"/>
    <w:rsid w:val="55EE2EA8"/>
    <w:rsid w:val="570C737E"/>
    <w:rsid w:val="571D5BBC"/>
    <w:rsid w:val="5FBB23E6"/>
    <w:rsid w:val="631A2A05"/>
    <w:rsid w:val="67672ABA"/>
    <w:rsid w:val="67DA2E98"/>
    <w:rsid w:val="69EA352F"/>
    <w:rsid w:val="6A0E0D52"/>
    <w:rsid w:val="6A8676FB"/>
    <w:rsid w:val="6AE82C90"/>
    <w:rsid w:val="73D239B1"/>
    <w:rsid w:val="77A83FA1"/>
    <w:rsid w:val="7B3960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sdException w:qFormat="1" w:unhideWhenUsed="0" w:uiPriority="0" w:semiHidden="0" w:name="toc 3"/>
    <w:lsdException w:qFormat="1"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4"/>
    <w:qFormat/>
    <w:uiPriority w:val="0"/>
    <w:pPr>
      <w:keepNext/>
      <w:keepLines/>
      <w:spacing w:before="340" w:after="330" w:line="576" w:lineRule="auto"/>
      <w:jc w:val="center"/>
      <w:outlineLvl w:val="0"/>
    </w:pPr>
    <w:rPr>
      <w:rFonts w:eastAsia="仿宋_GB2312"/>
      <w:b/>
      <w:bCs/>
      <w:kern w:val="44"/>
      <w:sz w:val="52"/>
      <w:szCs w:val="52"/>
    </w:rPr>
  </w:style>
  <w:style w:type="paragraph" w:styleId="3">
    <w:name w:val="heading 2"/>
    <w:basedOn w:val="1"/>
    <w:next w:val="1"/>
    <w:link w:val="55"/>
    <w:autoRedefine/>
    <w:qFormat/>
    <w:uiPriority w:val="0"/>
    <w:pPr>
      <w:keepNext/>
      <w:keepLines/>
      <w:spacing w:before="260" w:after="260" w:line="413" w:lineRule="auto"/>
      <w:jc w:val="center"/>
      <w:outlineLvl w:val="1"/>
    </w:pPr>
    <w:rPr>
      <w:rFonts w:ascii="Arial" w:hAnsi="Arial" w:eastAsia="仿宋_GB2312" w:cs="Arial"/>
      <w:b/>
      <w:bCs/>
      <w:sz w:val="48"/>
      <w:szCs w:val="48"/>
    </w:rPr>
  </w:style>
  <w:style w:type="paragraph" w:styleId="4">
    <w:name w:val="heading 3"/>
    <w:basedOn w:val="1"/>
    <w:next w:val="1"/>
    <w:link w:val="56"/>
    <w:autoRedefine/>
    <w:qFormat/>
    <w:uiPriority w:val="9"/>
    <w:pPr>
      <w:keepNext/>
      <w:keepLines/>
      <w:spacing w:before="260" w:after="260" w:line="413" w:lineRule="auto"/>
      <w:jc w:val="center"/>
      <w:outlineLvl w:val="2"/>
    </w:pPr>
    <w:rPr>
      <w:rFonts w:eastAsia="仿宋_GB2312"/>
      <w:b/>
      <w:bCs/>
      <w:sz w:val="36"/>
      <w:szCs w:val="36"/>
    </w:rPr>
  </w:style>
  <w:style w:type="paragraph" w:styleId="5">
    <w:name w:val="heading 4"/>
    <w:basedOn w:val="1"/>
    <w:next w:val="1"/>
    <w:link w:val="57"/>
    <w:autoRedefine/>
    <w:qFormat/>
    <w:uiPriority w:val="0"/>
    <w:pPr>
      <w:keepNext/>
      <w:jc w:val="center"/>
      <w:outlineLvl w:val="3"/>
    </w:pPr>
    <w:rPr>
      <w:rFonts w:ascii="仿宋_GB2312" w:eastAsia="仿宋_GB2312" w:cs="仿宋_GB2312"/>
      <w:sz w:val="28"/>
      <w:szCs w:val="28"/>
    </w:rPr>
  </w:style>
  <w:style w:type="paragraph" w:styleId="6">
    <w:name w:val="heading 5"/>
    <w:basedOn w:val="1"/>
    <w:next w:val="1"/>
    <w:link w:val="58"/>
    <w:autoRedefine/>
    <w:qFormat/>
    <w:locked/>
    <w:uiPriority w:val="0"/>
    <w:pPr>
      <w:widowControl/>
      <w:spacing w:before="240" w:after="60"/>
      <w:jc w:val="left"/>
      <w:outlineLvl w:val="4"/>
    </w:pPr>
    <w:rPr>
      <w:rFonts w:ascii="Calibri" w:hAnsi="Calibri"/>
      <w:b/>
      <w:bCs/>
      <w:i/>
      <w:iCs/>
      <w:kern w:val="0"/>
      <w:sz w:val="26"/>
      <w:szCs w:val="26"/>
    </w:rPr>
  </w:style>
  <w:style w:type="paragraph" w:styleId="7">
    <w:name w:val="heading 6"/>
    <w:basedOn w:val="1"/>
    <w:next w:val="1"/>
    <w:link w:val="59"/>
    <w:autoRedefine/>
    <w:qFormat/>
    <w:locked/>
    <w:uiPriority w:val="0"/>
    <w:pPr>
      <w:widowControl/>
      <w:spacing w:before="240" w:after="60"/>
      <w:jc w:val="left"/>
      <w:outlineLvl w:val="5"/>
    </w:pPr>
    <w:rPr>
      <w:rFonts w:ascii="Calibri" w:hAnsi="Calibri"/>
      <w:b/>
      <w:bCs/>
      <w:kern w:val="0"/>
      <w:sz w:val="22"/>
      <w:szCs w:val="22"/>
    </w:rPr>
  </w:style>
  <w:style w:type="paragraph" w:styleId="8">
    <w:name w:val="heading 7"/>
    <w:basedOn w:val="1"/>
    <w:next w:val="1"/>
    <w:link w:val="60"/>
    <w:autoRedefine/>
    <w:qFormat/>
    <w:locked/>
    <w:uiPriority w:val="0"/>
    <w:pPr>
      <w:widowControl/>
      <w:spacing w:before="240" w:after="60"/>
      <w:jc w:val="left"/>
      <w:outlineLvl w:val="6"/>
    </w:pPr>
    <w:rPr>
      <w:rFonts w:ascii="Calibri" w:hAnsi="Calibri"/>
      <w:kern w:val="0"/>
      <w:sz w:val="24"/>
      <w:szCs w:val="24"/>
    </w:rPr>
  </w:style>
  <w:style w:type="paragraph" w:styleId="9">
    <w:name w:val="heading 8"/>
    <w:basedOn w:val="1"/>
    <w:next w:val="1"/>
    <w:link w:val="61"/>
    <w:autoRedefine/>
    <w:qFormat/>
    <w:locked/>
    <w:uiPriority w:val="0"/>
    <w:pPr>
      <w:widowControl/>
      <w:spacing w:before="240" w:after="60"/>
      <w:jc w:val="left"/>
      <w:outlineLvl w:val="7"/>
    </w:pPr>
    <w:rPr>
      <w:rFonts w:ascii="Calibri" w:hAnsi="Calibri"/>
      <w:i/>
      <w:iCs/>
      <w:kern w:val="0"/>
      <w:sz w:val="24"/>
      <w:szCs w:val="24"/>
    </w:rPr>
  </w:style>
  <w:style w:type="paragraph" w:styleId="10">
    <w:name w:val="heading 9"/>
    <w:basedOn w:val="1"/>
    <w:next w:val="1"/>
    <w:link w:val="62"/>
    <w:autoRedefine/>
    <w:qFormat/>
    <w:locked/>
    <w:uiPriority w:val="0"/>
    <w:pPr>
      <w:widowControl/>
      <w:spacing w:before="240" w:after="60"/>
      <w:jc w:val="left"/>
      <w:outlineLvl w:val="8"/>
    </w:pPr>
    <w:rPr>
      <w:rFonts w:ascii="Cambria" w:hAnsi="Cambria"/>
      <w:kern w:val="0"/>
      <w:sz w:val="22"/>
      <w:szCs w:val="22"/>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locked/>
    <w:uiPriority w:val="0"/>
    <w:pPr>
      <w:ind w:left="2520" w:leftChars="1200"/>
    </w:pPr>
    <w:rPr>
      <w:rFonts w:ascii="Calibri" w:hAnsi="Calibri"/>
      <w:szCs w:val="22"/>
    </w:rPr>
  </w:style>
  <w:style w:type="paragraph" w:styleId="12">
    <w:name w:val="Normal Indent"/>
    <w:basedOn w:val="1"/>
    <w:link w:val="65"/>
    <w:qFormat/>
    <w:uiPriority w:val="0"/>
    <w:pPr>
      <w:ind w:firstLine="420"/>
    </w:pPr>
    <w:rPr>
      <w:rFonts w:ascii="Calibri" w:hAnsi="Calibri"/>
    </w:rPr>
  </w:style>
  <w:style w:type="paragraph" w:styleId="13">
    <w:name w:val="caption"/>
    <w:basedOn w:val="1"/>
    <w:next w:val="1"/>
    <w:autoRedefine/>
    <w:qFormat/>
    <w:locked/>
    <w:uiPriority w:val="0"/>
    <w:rPr>
      <w:rFonts w:ascii="Cambria" w:hAnsi="Cambria" w:eastAsia="黑体"/>
      <w:sz w:val="20"/>
      <w:szCs w:val="20"/>
    </w:rPr>
  </w:style>
  <w:style w:type="paragraph" w:styleId="14">
    <w:name w:val="Document Map"/>
    <w:basedOn w:val="1"/>
    <w:link w:val="66"/>
    <w:autoRedefine/>
    <w:qFormat/>
    <w:uiPriority w:val="0"/>
    <w:pPr>
      <w:widowControl/>
      <w:shd w:val="clear" w:color="auto" w:fill="000080"/>
      <w:jc w:val="left"/>
    </w:pPr>
    <w:rPr>
      <w:kern w:val="0"/>
      <w:sz w:val="20"/>
      <w:szCs w:val="20"/>
    </w:rPr>
  </w:style>
  <w:style w:type="paragraph" w:styleId="15">
    <w:name w:val="annotation text"/>
    <w:basedOn w:val="1"/>
    <w:link w:val="63"/>
    <w:autoRedefine/>
    <w:qFormat/>
    <w:uiPriority w:val="0"/>
    <w:pPr>
      <w:jc w:val="left"/>
    </w:pPr>
  </w:style>
  <w:style w:type="paragraph" w:styleId="16">
    <w:name w:val="Salutation"/>
    <w:basedOn w:val="1"/>
    <w:next w:val="1"/>
    <w:link w:val="67"/>
    <w:autoRedefine/>
    <w:qFormat/>
    <w:uiPriority w:val="0"/>
    <w:rPr>
      <w:rFonts w:ascii="宋体" w:hAnsi="宋体" w:eastAsia="仿宋_GB2312"/>
      <w:kern w:val="0"/>
      <w:sz w:val="36"/>
      <w:szCs w:val="20"/>
    </w:rPr>
  </w:style>
  <w:style w:type="paragraph" w:styleId="17">
    <w:name w:val="Body Text 3"/>
    <w:basedOn w:val="1"/>
    <w:link w:val="68"/>
    <w:autoRedefine/>
    <w:qFormat/>
    <w:uiPriority w:val="99"/>
    <w:pPr>
      <w:spacing w:line="240" w:lineRule="atLeast"/>
      <w:jc w:val="center"/>
    </w:pPr>
    <w:rPr>
      <w:rFonts w:ascii="楷体_GB2312" w:eastAsia="楷体_GB2312" w:cs="楷体_GB2312"/>
      <w:b/>
      <w:bCs/>
      <w:sz w:val="44"/>
      <w:szCs w:val="44"/>
    </w:rPr>
  </w:style>
  <w:style w:type="paragraph" w:styleId="18">
    <w:name w:val="Body Text"/>
    <w:basedOn w:val="1"/>
    <w:link w:val="69"/>
    <w:autoRedefine/>
    <w:qFormat/>
    <w:uiPriority w:val="0"/>
    <w:rPr>
      <w:rFonts w:ascii="仿宋_GB2312" w:hAnsi="宋体" w:eastAsia="仿宋_GB2312" w:cs="仿宋_GB2312"/>
      <w:sz w:val="24"/>
      <w:szCs w:val="24"/>
    </w:rPr>
  </w:style>
  <w:style w:type="paragraph" w:styleId="19">
    <w:name w:val="Body Text Indent"/>
    <w:basedOn w:val="1"/>
    <w:link w:val="70"/>
    <w:autoRedefine/>
    <w:qFormat/>
    <w:uiPriority w:val="99"/>
    <w:pPr>
      <w:spacing w:line="360" w:lineRule="auto"/>
      <w:ind w:firstLine="360" w:firstLineChars="150"/>
    </w:pPr>
    <w:rPr>
      <w:rFonts w:eastAsia="仿宋_GB2312"/>
      <w:sz w:val="24"/>
      <w:szCs w:val="24"/>
    </w:rPr>
  </w:style>
  <w:style w:type="paragraph" w:styleId="20">
    <w:name w:val="Block Text"/>
    <w:basedOn w:val="1"/>
    <w:autoRedefine/>
    <w:qFormat/>
    <w:uiPriority w:val="0"/>
    <w:pPr>
      <w:spacing w:line="360" w:lineRule="auto"/>
      <w:ind w:left="900" w:right="-239"/>
    </w:pPr>
    <w:rPr>
      <w:rFonts w:ascii="宋体" w:hAnsi="宋体"/>
      <w:color w:val="000000"/>
      <w:kern w:val="0"/>
      <w:sz w:val="24"/>
      <w:szCs w:val="36"/>
    </w:rPr>
  </w:style>
  <w:style w:type="paragraph" w:styleId="21">
    <w:name w:val="index 4"/>
    <w:basedOn w:val="1"/>
    <w:next w:val="1"/>
    <w:qFormat/>
    <w:uiPriority w:val="0"/>
    <w:pPr>
      <w:ind w:left="600" w:leftChars="600"/>
    </w:pPr>
    <w:rPr>
      <w:szCs w:val="24"/>
    </w:rPr>
  </w:style>
  <w:style w:type="paragraph" w:styleId="22">
    <w:name w:val="toc 5"/>
    <w:basedOn w:val="1"/>
    <w:next w:val="1"/>
    <w:qFormat/>
    <w:locked/>
    <w:uiPriority w:val="0"/>
    <w:pPr>
      <w:tabs>
        <w:tab w:val="right" w:leader="dot" w:pos="8296"/>
      </w:tabs>
      <w:ind w:left="1050" w:leftChars="500"/>
    </w:pPr>
    <w:rPr>
      <w:rFonts w:ascii="Calibri" w:hAnsi="Calibri"/>
      <w:szCs w:val="22"/>
    </w:rPr>
  </w:style>
  <w:style w:type="paragraph" w:styleId="23">
    <w:name w:val="toc 3"/>
    <w:basedOn w:val="1"/>
    <w:next w:val="1"/>
    <w:autoRedefine/>
    <w:qFormat/>
    <w:uiPriority w:val="0"/>
    <w:pPr>
      <w:ind w:left="840" w:leftChars="400"/>
    </w:pPr>
  </w:style>
  <w:style w:type="paragraph" w:styleId="24">
    <w:name w:val="Plain Text"/>
    <w:basedOn w:val="1"/>
    <w:link w:val="71"/>
    <w:autoRedefine/>
    <w:qFormat/>
    <w:uiPriority w:val="0"/>
    <w:rPr>
      <w:rFonts w:ascii="宋体" w:hAnsi="Courier New" w:cs="宋体"/>
    </w:rPr>
  </w:style>
  <w:style w:type="paragraph" w:styleId="25">
    <w:name w:val="toc 8"/>
    <w:basedOn w:val="1"/>
    <w:next w:val="1"/>
    <w:autoRedefine/>
    <w:qFormat/>
    <w:locked/>
    <w:uiPriority w:val="0"/>
    <w:pPr>
      <w:ind w:left="2940" w:leftChars="1400"/>
    </w:pPr>
    <w:rPr>
      <w:rFonts w:ascii="Calibri" w:hAnsi="Calibri"/>
      <w:szCs w:val="22"/>
    </w:rPr>
  </w:style>
  <w:style w:type="paragraph" w:styleId="26">
    <w:name w:val="Date"/>
    <w:basedOn w:val="1"/>
    <w:next w:val="1"/>
    <w:link w:val="72"/>
    <w:autoRedefine/>
    <w:qFormat/>
    <w:uiPriority w:val="0"/>
    <w:rPr>
      <w:rFonts w:ascii="宋体" w:cs="宋体"/>
    </w:rPr>
  </w:style>
  <w:style w:type="paragraph" w:styleId="27">
    <w:name w:val="Body Text Indent 2"/>
    <w:basedOn w:val="1"/>
    <w:link w:val="73"/>
    <w:autoRedefine/>
    <w:qFormat/>
    <w:uiPriority w:val="99"/>
    <w:pPr>
      <w:ind w:firstLine="480"/>
    </w:pPr>
    <w:rPr>
      <w:rFonts w:ascii="仿宋_GB2312" w:hAnsi="宋体" w:eastAsia="仿宋_GB2312" w:cs="仿宋_GB2312"/>
      <w:sz w:val="28"/>
      <w:szCs w:val="28"/>
    </w:rPr>
  </w:style>
  <w:style w:type="paragraph" w:styleId="28">
    <w:name w:val="Balloon Text"/>
    <w:basedOn w:val="1"/>
    <w:link w:val="74"/>
    <w:autoRedefine/>
    <w:qFormat/>
    <w:uiPriority w:val="0"/>
    <w:rPr>
      <w:sz w:val="18"/>
      <w:szCs w:val="18"/>
    </w:rPr>
  </w:style>
  <w:style w:type="paragraph" w:styleId="29">
    <w:name w:val="footer"/>
    <w:basedOn w:val="1"/>
    <w:link w:val="75"/>
    <w:autoRedefine/>
    <w:qFormat/>
    <w:uiPriority w:val="0"/>
    <w:pPr>
      <w:tabs>
        <w:tab w:val="center" w:pos="4153"/>
        <w:tab w:val="right" w:pos="8306"/>
      </w:tabs>
      <w:snapToGrid w:val="0"/>
      <w:jc w:val="left"/>
    </w:pPr>
    <w:rPr>
      <w:sz w:val="18"/>
      <w:szCs w:val="18"/>
    </w:rPr>
  </w:style>
  <w:style w:type="paragraph" w:styleId="30">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locked/>
    <w:uiPriority w:val="0"/>
    <w:pPr>
      <w:tabs>
        <w:tab w:val="right" w:leader="dot" w:pos="9340"/>
      </w:tabs>
      <w:spacing w:before="60" w:after="60"/>
      <w:jc w:val="center"/>
    </w:pPr>
    <w:rPr>
      <w:rFonts w:ascii="宋体" w:hAnsi="宋体"/>
      <w:b/>
      <w:sz w:val="32"/>
      <w:szCs w:val="20"/>
    </w:rPr>
  </w:style>
  <w:style w:type="paragraph" w:styleId="32">
    <w:name w:val="toc 4"/>
    <w:basedOn w:val="1"/>
    <w:next w:val="1"/>
    <w:autoRedefine/>
    <w:unhideWhenUsed/>
    <w:qFormat/>
    <w:locked/>
    <w:uiPriority w:val="0"/>
    <w:pPr>
      <w:ind w:left="1260" w:leftChars="600"/>
    </w:pPr>
    <w:rPr>
      <w:rFonts w:ascii="宋体" w:hAnsi="宋体"/>
      <w:kern w:val="0"/>
      <w:sz w:val="36"/>
      <w:szCs w:val="36"/>
    </w:rPr>
  </w:style>
  <w:style w:type="paragraph" w:styleId="33">
    <w:name w:val="Subtitle"/>
    <w:basedOn w:val="1"/>
    <w:next w:val="1"/>
    <w:link w:val="77"/>
    <w:autoRedefine/>
    <w:qFormat/>
    <w:locked/>
    <w:uiPriority w:val="0"/>
    <w:pPr>
      <w:widowControl/>
      <w:spacing w:after="60"/>
      <w:jc w:val="center"/>
      <w:outlineLvl w:val="1"/>
    </w:pPr>
    <w:rPr>
      <w:rFonts w:ascii="Cambria" w:hAnsi="Cambria"/>
      <w:kern w:val="0"/>
      <w:sz w:val="24"/>
      <w:szCs w:val="24"/>
    </w:rPr>
  </w:style>
  <w:style w:type="paragraph" w:styleId="34">
    <w:name w:val="toc 6"/>
    <w:basedOn w:val="1"/>
    <w:next w:val="1"/>
    <w:autoRedefine/>
    <w:qFormat/>
    <w:locked/>
    <w:uiPriority w:val="0"/>
    <w:pPr>
      <w:ind w:left="2100" w:leftChars="1000"/>
    </w:pPr>
    <w:rPr>
      <w:rFonts w:ascii="Calibri" w:hAnsi="Calibri"/>
      <w:szCs w:val="22"/>
    </w:rPr>
  </w:style>
  <w:style w:type="paragraph" w:styleId="35">
    <w:name w:val="Body Text Indent 3"/>
    <w:basedOn w:val="1"/>
    <w:link w:val="78"/>
    <w:autoRedefine/>
    <w:qFormat/>
    <w:uiPriority w:val="99"/>
    <w:pPr>
      <w:widowControl/>
      <w:tabs>
        <w:tab w:val="left" w:pos="0"/>
        <w:tab w:val="left" w:pos="1134"/>
      </w:tabs>
      <w:adjustRightInd w:val="0"/>
      <w:snapToGrid w:val="0"/>
      <w:spacing w:line="360" w:lineRule="auto"/>
      <w:ind w:left="567"/>
      <w:jc w:val="left"/>
    </w:pPr>
    <w:rPr>
      <w:rFonts w:ascii="仿宋_GB2312" w:eastAsia="仿宋_GB2312" w:cs="仿宋_GB2312"/>
      <w:kern w:val="0"/>
      <w:sz w:val="28"/>
      <w:szCs w:val="28"/>
    </w:rPr>
  </w:style>
  <w:style w:type="paragraph" w:styleId="36">
    <w:name w:val="toc 2"/>
    <w:basedOn w:val="1"/>
    <w:next w:val="1"/>
    <w:autoRedefine/>
    <w:qFormat/>
    <w:uiPriority w:val="0"/>
    <w:pPr>
      <w:tabs>
        <w:tab w:val="right" w:leader="dot" w:pos="9372"/>
      </w:tabs>
      <w:spacing w:line="400" w:lineRule="exact"/>
    </w:pPr>
    <w:rPr>
      <w:rFonts w:ascii="仿宋_GB2312" w:cs="仿宋_GB2312"/>
      <w:sz w:val="24"/>
      <w:szCs w:val="24"/>
    </w:rPr>
  </w:style>
  <w:style w:type="paragraph" w:styleId="37">
    <w:name w:val="toc 9"/>
    <w:basedOn w:val="1"/>
    <w:next w:val="1"/>
    <w:autoRedefine/>
    <w:qFormat/>
    <w:locked/>
    <w:uiPriority w:val="0"/>
    <w:pPr>
      <w:ind w:left="3360" w:leftChars="1600"/>
    </w:pPr>
    <w:rPr>
      <w:rFonts w:ascii="Calibri" w:hAnsi="Calibri"/>
      <w:szCs w:val="22"/>
    </w:rPr>
  </w:style>
  <w:style w:type="paragraph" w:styleId="38">
    <w:name w:val="Body Text 2"/>
    <w:basedOn w:val="1"/>
    <w:link w:val="79"/>
    <w:autoRedefine/>
    <w:qFormat/>
    <w:uiPriority w:val="99"/>
    <w:pPr>
      <w:spacing w:after="468" w:line="800" w:lineRule="exact"/>
      <w:jc w:val="center"/>
    </w:pPr>
    <w:rPr>
      <w:rFonts w:ascii="华文新魏" w:hAnsi="宋体" w:eastAsia="华文新魏" w:cs="华文新魏"/>
      <w:b/>
      <w:bCs/>
      <w:color w:val="0000FF"/>
      <w:spacing w:val="10"/>
      <w:w w:val="90"/>
      <w:sz w:val="72"/>
      <w:szCs w:val="72"/>
    </w:rPr>
  </w:style>
  <w:style w:type="paragraph" w:styleId="39">
    <w:name w:val="HTML Preformatted"/>
    <w:basedOn w:val="1"/>
    <w:link w:val="8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0">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autoRedefine/>
    <w:semiHidden/>
    <w:qFormat/>
    <w:uiPriority w:val="99"/>
    <w:pPr>
      <w:tabs>
        <w:tab w:val="left" w:pos="1418"/>
        <w:tab w:val="left" w:pos="2126"/>
        <w:tab w:val="left" w:pos="2835"/>
        <w:tab w:val="left" w:pos="3544"/>
        <w:tab w:val="left" w:pos="4253"/>
        <w:tab w:val="left" w:pos="4961"/>
        <w:tab w:val="left" w:pos="5670"/>
      </w:tabs>
      <w:adjustRightInd w:val="0"/>
      <w:snapToGrid w:val="0"/>
      <w:ind w:left="1418" w:hanging="709"/>
    </w:pPr>
    <w:rPr>
      <w:kern w:val="0"/>
      <w:sz w:val="22"/>
      <w:szCs w:val="20"/>
    </w:rPr>
  </w:style>
  <w:style w:type="paragraph" w:styleId="42">
    <w:name w:val="Title"/>
    <w:basedOn w:val="1"/>
    <w:next w:val="1"/>
    <w:link w:val="81"/>
    <w:autoRedefine/>
    <w:qFormat/>
    <w:locked/>
    <w:uiPriority w:val="0"/>
    <w:pPr>
      <w:widowControl/>
      <w:spacing w:before="240" w:after="60"/>
      <w:jc w:val="center"/>
      <w:outlineLvl w:val="0"/>
    </w:pPr>
    <w:rPr>
      <w:rFonts w:ascii="Cambria" w:hAnsi="Cambria"/>
      <w:b/>
      <w:bCs/>
      <w:kern w:val="28"/>
      <w:sz w:val="32"/>
      <w:szCs w:val="32"/>
    </w:rPr>
  </w:style>
  <w:style w:type="paragraph" w:styleId="43">
    <w:name w:val="annotation subject"/>
    <w:basedOn w:val="15"/>
    <w:next w:val="15"/>
    <w:link w:val="64"/>
    <w:autoRedefine/>
    <w:qFormat/>
    <w:uiPriority w:val="0"/>
    <w:rPr>
      <w:b/>
      <w:bCs/>
    </w:rPr>
  </w:style>
  <w:style w:type="paragraph" w:styleId="44">
    <w:name w:val="Body Text First Indent"/>
    <w:basedOn w:val="18"/>
    <w:link w:val="216"/>
    <w:autoRedefine/>
    <w:qFormat/>
    <w:uiPriority w:val="99"/>
    <w:pPr>
      <w:spacing w:after="120"/>
      <w:ind w:firstLine="420" w:firstLineChars="100"/>
    </w:pPr>
    <w:rPr>
      <w:rFonts w:ascii="楷体_GB2312" w:hAnsi="Arial" w:eastAsia="楷体_GB2312" w:cs="Times New Roman"/>
      <w:b/>
      <w:kern w:val="44"/>
      <w:szCs w:val="28"/>
    </w:rPr>
  </w:style>
  <w:style w:type="table" w:styleId="46">
    <w:name w:val="Table Grid"/>
    <w:basedOn w:val="45"/>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locked/>
    <w:uiPriority w:val="0"/>
    <w:rPr>
      <w:b/>
      <w:bCs/>
    </w:rPr>
  </w:style>
  <w:style w:type="character" w:styleId="49">
    <w:name w:val="page number"/>
    <w:basedOn w:val="47"/>
    <w:autoRedefine/>
    <w:qFormat/>
    <w:uiPriority w:val="0"/>
  </w:style>
  <w:style w:type="character" w:styleId="50">
    <w:name w:val="FollowedHyperlink"/>
    <w:basedOn w:val="47"/>
    <w:autoRedefine/>
    <w:qFormat/>
    <w:uiPriority w:val="0"/>
    <w:rPr>
      <w:color w:val="800080"/>
      <w:u w:val="single"/>
    </w:rPr>
  </w:style>
  <w:style w:type="character" w:styleId="51">
    <w:name w:val="Emphasis"/>
    <w:autoRedefine/>
    <w:qFormat/>
    <w:locked/>
    <w:uiPriority w:val="0"/>
    <w:rPr>
      <w:rFonts w:ascii="Calibri" w:hAnsi="Calibri"/>
      <w:b/>
      <w:i/>
      <w:iCs/>
    </w:rPr>
  </w:style>
  <w:style w:type="character" w:styleId="52">
    <w:name w:val="Hyperlink"/>
    <w:basedOn w:val="47"/>
    <w:autoRedefine/>
    <w:qFormat/>
    <w:uiPriority w:val="99"/>
    <w:rPr>
      <w:color w:val="0000FF"/>
      <w:u w:val="single"/>
    </w:rPr>
  </w:style>
  <w:style w:type="character" w:styleId="53">
    <w:name w:val="annotation reference"/>
    <w:basedOn w:val="47"/>
    <w:autoRedefine/>
    <w:qFormat/>
    <w:uiPriority w:val="0"/>
    <w:rPr>
      <w:sz w:val="21"/>
      <w:szCs w:val="21"/>
    </w:rPr>
  </w:style>
  <w:style w:type="character" w:customStyle="1" w:styleId="54">
    <w:name w:val="标题 1 字符"/>
    <w:basedOn w:val="47"/>
    <w:link w:val="2"/>
    <w:autoRedefine/>
    <w:qFormat/>
    <w:uiPriority w:val="0"/>
    <w:rPr>
      <w:b/>
      <w:bCs/>
      <w:kern w:val="44"/>
      <w:sz w:val="44"/>
      <w:szCs w:val="44"/>
    </w:rPr>
  </w:style>
  <w:style w:type="character" w:customStyle="1" w:styleId="55">
    <w:name w:val="标题 2 字符"/>
    <w:basedOn w:val="47"/>
    <w:link w:val="3"/>
    <w:autoRedefine/>
    <w:qFormat/>
    <w:uiPriority w:val="0"/>
    <w:rPr>
      <w:rFonts w:ascii="Cambria" w:hAnsi="Cambria" w:eastAsia="宋体" w:cs="Times New Roman"/>
      <w:b/>
      <w:bCs/>
      <w:sz w:val="32"/>
      <w:szCs w:val="32"/>
    </w:rPr>
  </w:style>
  <w:style w:type="character" w:customStyle="1" w:styleId="56">
    <w:name w:val="标题 3 字符"/>
    <w:basedOn w:val="47"/>
    <w:link w:val="4"/>
    <w:autoRedefine/>
    <w:qFormat/>
    <w:uiPriority w:val="0"/>
    <w:rPr>
      <w:b/>
      <w:bCs/>
      <w:sz w:val="32"/>
      <w:szCs w:val="32"/>
    </w:rPr>
  </w:style>
  <w:style w:type="character" w:customStyle="1" w:styleId="57">
    <w:name w:val="标题 4 字符"/>
    <w:basedOn w:val="47"/>
    <w:link w:val="5"/>
    <w:autoRedefine/>
    <w:qFormat/>
    <w:uiPriority w:val="0"/>
    <w:rPr>
      <w:rFonts w:ascii="Cambria" w:hAnsi="Cambria" w:eastAsia="宋体" w:cs="Times New Roman"/>
      <w:b/>
      <w:bCs/>
      <w:sz w:val="28"/>
      <w:szCs w:val="28"/>
    </w:rPr>
  </w:style>
  <w:style w:type="character" w:customStyle="1" w:styleId="58">
    <w:name w:val="标题 5 字符"/>
    <w:basedOn w:val="47"/>
    <w:link w:val="6"/>
    <w:autoRedefine/>
    <w:qFormat/>
    <w:uiPriority w:val="0"/>
    <w:rPr>
      <w:rFonts w:ascii="Calibri" w:hAnsi="Calibri"/>
      <w:b/>
      <w:bCs/>
      <w:i/>
      <w:iCs/>
      <w:sz w:val="26"/>
      <w:szCs w:val="26"/>
    </w:rPr>
  </w:style>
  <w:style w:type="character" w:customStyle="1" w:styleId="59">
    <w:name w:val="标题 6 字符"/>
    <w:basedOn w:val="47"/>
    <w:link w:val="7"/>
    <w:autoRedefine/>
    <w:qFormat/>
    <w:uiPriority w:val="0"/>
    <w:rPr>
      <w:rFonts w:ascii="Calibri" w:hAnsi="Calibri"/>
      <w:b/>
      <w:bCs/>
      <w:sz w:val="22"/>
      <w:szCs w:val="22"/>
    </w:rPr>
  </w:style>
  <w:style w:type="character" w:customStyle="1" w:styleId="60">
    <w:name w:val="标题 7 字符"/>
    <w:basedOn w:val="47"/>
    <w:link w:val="8"/>
    <w:autoRedefine/>
    <w:qFormat/>
    <w:uiPriority w:val="0"/>
    <w:rPr>
      <w:rFonts w:ascii="Calibri" w:hAnsi="Calibri"/>
      <w:sz w:val="24"/>
      <w:szCs w:val="24"/>
    </w:rPr>
  </w:style>
  <w:style w:type="character" w:customStyle="1" w:styleId="61">
    <w:name w:val="标题 8 字符"/>
    <w:basedOn w:val="47"/>
    <w:link w:val="9"/>
    <w:autoRedefine/>
    <w:qFormat/>
    <w:uiPriority w:val="0"/>
    <w:rPr>
      <w:rFonts w:ascii="Calibri" w:hAnsi="Calibri"/>
      <w:i/>
      <w:iCs/>
      <w:sz w:val="24"/>
      <w:szCs w:val="24"/>
    </w:rPr>
  </w:style>
  <w:style w:type="character" w:customStyle="1" w:styleId="62">
    <w:name w:val="标题 9 字符"/>
    <w:basedOn w:val="47"/>
    <w:link w:val="10"/>
    <w:autoRedefine/>
    <w:qFormat/>
    <w:uiPriority w:val="0"/>
    <w:rPr>
      <w:rFonts w:ascii="Cambria" w:hAnsi="Cambria"/>
      <w:sz w:val="22"/>
      <w:szCs w:val="22"/>
    </w:rPr>
  </w:style>
  <w:style w:type="character" w:customStyle="1" w:styleId="63">
    <w:name w:val="批注文字 字符"/>
    <w:basedOn w:val="47"/>
    <w:link w:val="15"/>
    <w:autoRedefine/>
    <w:qFormat/>
    <w:uiPriority w:val="0"/>
    <w:rPr>
      <w:szCs w:val="21"/>
    </w:rPr>
  </w:style>
  <w:style w:type="character" w:customStyle="1" w:styleId="64">
    <w:name w:val="批注主题 字符"/>
    <w:basedOn w:val="63"/>
    <w:link w:val="43"/>
    <w:autoRedefine/>
    <w:qFormat/>
    <w:uiPriority w:val="0"/>
    <w:rPr>
      <w:b/>
      <w:bCs/>
      <w:szCs w:val="21"/>
    </w:rPr>
  </w:style>
  <w:style w:type="character" w:customStyle="1" w:styleId="65">
    <w:name w:val="正文缩进 字符"/>
    <w:link w:val="12"/>
    <w:autoRedefine/>
    <w:qFormat/>
    <w:uiPriority w:val="0"/>
    <w:rPr>
      <w:kern w:val="2"/>
      <w:sz w:val="21"/>
      <w:szCs w:val="21"/>
    </w:rPr>
  </w:style>
  <w:style w:type="character" w:customStyle="1" w:styleId="66">
    <w:name w:val="文档结构图 字符"/>
    <w:basedOn w:val="47"/>
    <w:link w:val="14"/>
    <w:autoRedefine/>
    <w:qFormat/>
    <w:uiPriority w:val="0"/>
    <w:rPr>
      <w:shd w:val="clear" w:color="auto" w:fill="000080"/>
    </w:rPr>
  </w:style>
  <w:style w:type="character" w:customStyle="1" w:styleId="67">
    <w:name w:val="称呼 字符"/>
    <w:basedOn w:val="47"/>
    <w:link w:val="16"/>
    <w:autoRedefine/>
    <w:qFormat/>
    <w:uiPriority w:val="0"/>
    <w:rPr>
      <w:rFonts w:ascii="宋体" w:hAnsi="宋体" w:eastAsia="仿宋_GB2312"/>
      <w:sz w:val="36"/>
    </w:rPr>
  </w:style>
  <w:style w:type="character" w:customStyle="1" w:styleId="68">
    <w:name w:val="正文文本 3 字符"/>
    <w:basedOn w:val="47"/>
    <w:link w:val="17"/>
    <w:autoRedefine/>
    <w:qFormat/>
    <w:uiPriority w:val="99"/>
    <w:rPr>
      <w:sz w:val="16"/>
      <w:szCs w:val="16"/>
    </w:rPr>
  </w:style>
  <w:style w:type="character" w:customStyle="1" w:styleId="69">
    <w:name w:val="正文文本 字符"/>
    <w:basedOn w:val="47"/>
    <w:link w:val="18"/>
    <w:autoRedefine/>
    <w:qFormat/>
    <w:uiPriority w:val="0"/>
    <w:rPr>
      <w:szCs w:val="21"/>
    </w:rPr>
  </w:style>
  <w:style w:type="character" w:customStyle="1" w:styleId="70">
    <w:name w:val="正文文本缩进 字符"/>
    <w:basedOn w:val="47"/>
    <w:link w:val="19"/>
    <w:autoRedefine/>
    <w:qFormat/>
    <w:uiPriority w:val="99"/>
    <w:rPr>
      <w:szCs w:val="21"/>
    </w:rPr>
  </w:style>
  <w:style w:type="character" w:customStyle="1" w:styleId="71">
    <w:name w:val="纯文本 字符"/>
    <w:basedOn w:val="47"/>
    <w:link w:val="24"/>
    <w:autoRedefine/>
    <w:qFormat/>
    <w:uiPriority w:val="0"/>
    <w:rPr>
      <w:rFonts w:ascii="宋体" w:hAnsi="Courier New" w:cs="Courier New"/>
      <w:szCs w:val="21"/>
    </w:rPr>
  </w:style>
  <w:style w:type="character" w:customStyle="1" w:styleId="72">
    <w:name w:val="日期 字符"/>
    <w:basedOn w:val="47"/>
    <w:link w:val="26"/>
    <w:autoRedefine/>
    <w:qFormat/>
    <w:uiPriority w:val="0"/>
    <w:rPr>
      <w:szCs w:val="21"/>
    </w:rPr>
  </w:style>
  <w:style w:type="character" w:customStyle="1" w:styleId="73">
    <w:name w:val="正文文本缩进 2 字符"/>
    <w:basedOn w:val="47"/>
    <w:link w:val="27"/>
    <w:autoRedefine/>
    <w:qFormat/>
    <w:uiPriority w:val="99"/>
    <w:rPr>
      <w:szCs w:val="21"/>
    </w:rPr>
  </w:style>
  <w:style w:type="character" w:customStyle="1" w:styleId="74">
    <w:name w:val="批注框文本 字符"/>
    <w:basedOn w:val="47"/>
    <w:link w:val="28"/>
    <w:autoRedefine/>
    <w:qFormat/>
    <w:uiPriority w:val="0"/>
    <w:rPr>
      <w:sz w:val="0"/>
      <w:szCs w:val="0"/>
    </w:rPr>
  </w:style>
  <w:style w:type="character" w:customStyle="1" w:styleId="75">
    <w:name w:val="页脚 字符"/>
    <w:basedOn w:val="47"/>
    <w:link w:val="29"/>
    <w:autoRedefine/>
    <w:qFormat/>
    <w:uiPriority w:val="0"/>
    <w:rPr>
      <w:sz w:val="18"/>
      <w:szCs w:val="18"/>
    </w:rPr>
  </w:style>
  <w:style w:type="character" w:customStyle="1" w:styleId="76">
    <w:name w:val="页眉 字符"/>
    <w:basedOn w:val="47"/>
    <w:link w:val="30"/>
    <w:autoRedefine/>
    <w:qFormat/>
    <w:uiPriority w:val="0"/>
    <w:rPr>
      <w:sz w:val="18"/>
      <w:szCs w:val="18"/>
    </w:rPr>
  </w:style>
  <w:style w:type="character" w:customStyle="1" w:styleId="77">
    <w:name w:val="副标题 字符"/>
    <w:basedOn w:val="47"/>
    <w:link w:val="33"/>
    <w:autoRedefine/>
    <w:qFormat/>
    <w:uiPriority w:val="0"/>
    <w:rPr>
      <w:rFonts w:ascii="Cambria" w:hAnsi="Cambria"/>
      <w:sz w:val="24"/>
      <w:szCs w:val="24"/>
    </w:rPr>
  </w:style>
  <w:style w:type="character" w:customStyle="1" w:styleId="78">
    <w:name w:val="正文文本缩进 3 字符"/>
    <w:basedOn w:val="47"/>
    <w:link w:val="35"/>
    <w:autoRedefine/>
    <w:qFormat/>
    <w:uiPriority w:val="99"/>
    <w:rPr>
      <w:sz w:val="16"/>
      <w:szCs w:val="16"/>
    </w:rPr>
  </w:style>
  <w:style w:type="character" w:customStyle="1" w:styleId="79">
    <w:name w:val="正文文本 2 字符"/>
    <w:basedOn w:val="47"/>
    <w:link w:val="38"/>
    <w:autoRedefine/>
    <w:qFormat/>
    <w:uiPriority w:val="99"/>
    <w:rPr>
      <w:szCs w:val="21"/>
    </w:rPr>
  </w:style>
  <w:style w:type="character" w:customStyle="1" w:styleId="80">
    <w:name w:val="HTML 预设格式 字符"/>
    <w:basedOn w:val="47"/>
    <w:link w:val="39"/>
    <w:autoRedefine/>
    <w:semiHidden/>
    <w:qFormat/>
    <w:uiPriority w:val="99"/>
    <w:rPr>
      <w:rFonts w:ascii="Courier New" w:hAnsi="Courier New" w:cs="Courier New"/>
      <w:sz w:val="20"/>
      <w:szCs w:val="20"/>
    </w:rPr>
  </w:style>
  <w:style w:type="character" w:customStyle="1" w:styleId="81">
    <w:name w:val="标题 字符"/>
    <w:basedOn w:val="47"/>
    <w:link w:val="42"/>
    <w:autoRedefine/>
    <w:qFormat/>
    <w:uiPriority w:val="0"/>
    <w:rPr>
      <w:rFonts w:ascii="Cambria" w:hAnsi="Cambria"/>
      <w:b/>
      <w:bCs/>
      <w:kern w:val="28"/>
      <w:sz w:val="32"/>
      <w:szCs w:val="32"/>
    </w:rPr>
  </w:style>
  <w:style w:type="character" w:customStyle="1" w:styleId="82">
    <w:name w:val="Char Char"/>
    <w:basedOn w:val="83"/>
    <w:autoRedefine/>
    <w:qFormat/>
    <w:uiPriority w:val="0"/>
    <w:rPr>
      <w:b/>
      <w:bCs/>
      <w:kern w:val="2"/>
      <w:sz w:val="21"/>
      <w:szCs w:val="21"/>
    </w:rPr>
  </w:style>
  <w:style w:type="character" w:customStyle="1" w:styleId="83">
    <w:name w:val="Char Char1"/>
    <w:basedOn w:val="47"/>
    <w:autoRedefine/>
    <w:qFormat/>
    <w:uiPriority w:val="0"/>
    <w:rPr>
      <w:kern w:val="2"/>
      <w:sz w:val="21"/>
      <w:szCs w:val="21"/>
    </w:rPr>
  </w:style>
  <w:style w:type="character" w:customStyle="1" w:styleId="84">
    <w:name w:val="bigfont1"/>
    <w:basedOn w:val="47"/>
    <w:autoRedefine/>
    <w:qFormat/>
    <w:uiPriority w:val="0"/>
    <w:rPr>
      <w:color w:val="000000"/>
      <w:sz w:val="24"/>
      <w:szCs w:val="24"/>
      <w:u w:val="none"/>
    </w:rPr>
  </w:style>
  <w:style w:type="paragraph" w:customStyle="1" w:styleId="85">
    <w:name w:val="Char"/>
    <w:basedOn w:val="12"/>
    <w:autoRedefine/>
    <w:qFormat/>
    <w:uiPriority w:val="0"/>
    <w:pPr>
      <w:spacing w:before="100" w:beforeAutospacing="1" w:after="100" w:afterAutospacing="1" w:line="360" w:lineRule="auto"/>
      <w:ind w:firstLine="480" w:firstLineChars="200"/>
    </w:pPr>
    <w:rPr>
      <w:kern w:val="0"/>
      <w:sz w:val="24"/>
      <w:szCs w:val="24"/>
    </w:rPr>
  </w:style>
  <w:style w:type="paragraph" w:customStyle="1" w:styleId="86">
    <w:name w:val="Char Char Char Char"/>
    <w:basedOn w:val="1"/>
    <w:autoRedefine/>
    <w:qFormat/>
    <w:uiPriority w:val="0"/>
    <w:pPr>
      <w:adjustRightInd w:val="0"/>
      <w:spacing w:line="360" w:lineRule="atLeast"/>
      <w:textAlignment w:val="baseline"/>
    </w:pPr>
    <w:rPr>
      <w:rFonts w:ascii="Tahoma" w:hAnsi="Tahoma" w:cs="Tahoma"/>
      <w:sz w:val="24"/>
      <w:szCs w:val="24"/>
    </w:rPr>
  </w:style>
  <w:style w:type="paragraph" w:customStyle="1" w:styleId="87">
    <w:name w:val="Blockquote"/>
    <w:basedOn w:val="1"/>
    <w:link w:val="88"/>
    <w:autoRedefine/>
    <w:qFormat/>
    <w:uiPriority w:val="0"/>
    <w:pPr>
      <w:autoSpaceDE w:val="0"/>
      <w:autoSpaceDN w:val="0"/>
      <w:adjustRightInd w:val="0"/>
      <w:spacing w:before="100" w:after="100"/>
      <w:ind w:left="360" w:right="360"/>
      <w:jc w:val="left"/>
    </w:pPr>
    <w:rPr>
      <w:rFonts w:ascii="Calibri" w:hAnsi="Calibri"/>
      <w:sz w:val="24"/>
      <w:szCs w:val="24"/>
    </w:rPr>
  </w:style>
  <w:style w:type="character" w:customStyle="1" w:styleId="88">
    <w:name w:val="Blockquote Char Char"/>
    <w:link w:val="87"/>
    <w:autoRedefine/>
    <w:qFormat/>
    <w:uiPriority w:val="0"/>
    <w:rPr>
      <w:kern w:val="2"/>
      <w:sz w:val="24"/>
      <w:szCs w:val="24"/>
    </w:rPr>
  </w:style>
  <w:style w:type="paragraph" w:customStyle="1" w:styleId="89">
    <w:name w:val="标书---正文 Char Char"/>
    <w:autoRedefine/>
    <w:qFormat/>
    <w:uiPriority w:val="99"/>
    <w:pPr>
      <w:spacing w:line="276" w:lineRule="auto"/>
      <w:ind w:firstLine="200" w:firstLineChars="200"/>
    </w:pPr>
    <w:rPr>
      <w:rFonts w:ascii="宋体" w:hAnsi="Times New Roman" w:eastAsia="宋体" w:cs="宋体"/>
      <w:kern w:val="2"/>
      <w:sz w:val="21"/>
      <w:szCs w:val="21"/>
      <w:lang w:val="en-US" w:eastAsia="zh-CN" w:bidi="ar-SA"/>
    </w:rPr>
  </w:style>
  <w:style w:type="paragraph" w:customStyle="1" w:styleId="90">
    <w:name w:val="Char Char Char Char Char Char"/>
    <w:basedOn w:val="1"/>
    <w:autoRedefine/>
    <w:qFormat/>
    <w:uiPriority w:val="99"/>
    <w:pPr>
      <w:adjustRightInd w:val="0"/>
      <w:spacing w:line="360" w:lineRule="auto"/>
    </w:pPr>
    <w:rPr>
      <w:kern w:val="0"/>
      <w:sz w:val="24"/>
      <w:szCs w:val="24"/>
    </w:rPr>
  </w:style>
  <w:style w:type="character" w:customStyle="1" w:styleId="91">
    <w:name w:val="明显强调1"/>
    <w:autoRedefine/>
    <w:qFormat/>
    <w:uiPriority w:val="0"/>
    <w:rPr>
      <w:b/>
      <w:i/>
      <w:sz w:val="24"/>
      <w:szCs w:val="24"/>
      <w:u w:val="single"/>
    </w:rPr>
  </w:style>
  <w:style w:type="character" w:customStyle="1" w:styleId="92">
    <w:name w:val="明显引用 Char"/>
    <w:autoRedefine/>
    <w:qFormat/>
    <w:uiPriority w:val="0"/>
    <w:rPr>
      <w:rFonts w:ascii="Calibri" w:hAnsi="Calibri"/>
      <w:b/>
      <w:i/>
      <w:sz w:val="24"/>
      <w:szCs w:val="22"/>
    </w:rPr>
  </w:style>
  <w:style w:type="paragraph" w:styleId="93">
    <w:name w:val="Intense Quote"/>
    <w:basedOn w:val="1"/>
    <w:next w:val="1"/>
    <w:link w:val="94"/>
    <w:autoRedefine/>
    <w:qFormat/>
    <w:uiPriority w:val="0"/>
    <w:pPr>
      <w:widowControl/>
      <w:ind w:left="720" w:right="720"/>
      <w:jc w:val="left"/>
    </w:pPr>
    <w:rPr>
      <w:rFonts w:ascii="Calibri" w:hAnsi="Calibri"/>
      <w:b/>
      <w:i/>
      <w:kern w:val="0"/>
      <w:sz w:val="24"/>
      <w:szCs w:val="22"/>
    </w:rPr>
  </w:style>
  <w:style w:type="character" w:customStyle="1" w:styleId="94">
    <w:name w:val="明显引用 字符"/>
    <w:basedOn w:val="47"/>
    <w:link w:val="93"/>
    <w:autoRedefine/>
    <w:qFormat/>
    <w:uiPriority w:val="99"/>
    <w:rPr>
      <w:b/>
      <w:bCs/>
      <w:i/>
      <w:iCs/>
      <w:color w:val="4F81BD"/>
      <w:kern w:val="2"/>
      <w:sz w:val="21"/>
      <w:szCs w:val="21"/>
    </w:rPr>
  </w:style>
  <w:style w:type="character" w:customStyle="1" w:styleId="95">
    <w:name w:val="无间隔 字符"/>
    <w:link w:val="96"/>
    <w:autoRedefine/>
    <w:qFormat/>
    <w:uiPriority w:val="0"/>
    <w:rPr>
      <w:rFonts w:ascii="Calibri" w:hAnsi="Calibri"/>
      <w:sz w:val="24"/>
      <w:szCs w:val="32"/>
    </w:rPr>
  </w:style>
  <w:style w:type="paragraph" w:styleId="96">
    <w:name w:val="No Spacing"/>
    <w:basedOn w:val="1"/>
    <w:link w:val="95"/>
    <w:autoRedefine/>
    <w:qFormat/>
    <w:uiPriority w:val="0"/>
    <w:pPr>
      <w:widowControl/>
      <w:jc w:val="left"/>
    </w:pPr>
    <w:rPr>
      <w:rFonts w:ascii="Calibri" w:hAnsi="Calibri"/>
      <w:kern w:val="0"/>
      <w:sz w:val="24"/>
      <w:szCs w:val="32"/>
    </w:rPr>
  </w:style>
  <w:style w:type="character" w:customStyle="1" w:styleId="97">
    <w:name w:val="纯文本 Char Char"/>
    <w:autoRedefine/>
    <w:qFormat/>
    <w:uiPriority w:val="0"/>
    <w:rPr>
      <w:rFonts w:ascii="宋体" w:hAnsi="Courier New" w:cs="Courier New"/>
      <w:kern w:val="2"/>
      <w:sz w:val="21"/>
      <w:szCs w:val="21"/>
    </w:rPr>
  </w:style>
  <w:style w:type="character" w:customStyle="1" w:styleId="98">
    <w:name w:val="infodetail"/>
    <w:basedOn w:val="47"/>
    <w:autoRedefine/>
    <w:qFormat/>
    <w:uiPriority w:val="0"/>
  </w:style>
  <w:style w:type="character" w:customStyle="1" w:styleId="99">
    <w:name w:val="明显参考1"/>
    <w:autoRedefine/>
    <w:qFormat/>
    <w:uiPriority w:val="0"/>
    <w:rPr>
      <w:b/>
      <w:sz w:val="24"/>
      <w:u w:val="single"/>
    </w:rPr>
  </w:style>
  <w:style w:type="character" w:customStyle="1" w:styleId="100">
    <w:name w:val="书籍标题1"/>
    <w:autoRedefine/>
    <w:qFormat/>
    <w:uiPriority w:val="0"/>
    <w:rPr>
      <w:rFonts w:ascii="Cambria" w:hAnsi="Cambria" w:eastAsia="宋体"/>
      <w:b/>
      <w:i/>
      <w:sz w:val="24"/>
      <w:szCs w:val="24"/>
    </w:rPr>
  </w:style>
  <w:style w:type="character" w:customStyle="1" w:styleId="101">
    <w:name w:val="不明显参考1"/>
    <w:autoRedefine/>
    <w:qFormat/>
    <w:uiPriority w:val="0"/>
    <w:rPr>
      <w:sz w:val="24"/>
      <w:szCs w:val="24"/>
      <w:u w:val="single"/>
    </w:rPr>
  </w:style>
  <w:style w:type="character" w:customStyle="1" w:styleId="102">
    <w:name w:val="不明显强调1"/>
    <w:autoRedefine/>
    <w:qFormat/>
    <w:uiPriority w:val="0"/>
    <w:rPr>
      <w:i/>
      <w:color w:val="5A5A5A"/>
    </w:rPr>
  </w:style>
  <w:style w:type="character" w:customStyle="1" w:styleId="103">
    <w:name w:val="ca-3"/>
    <w:basedOn w:val="47"/>
    <w:autoRedefine/>
    <w:qFormat/>
    <w:uiPriority w:val="0"/>
  </w:style>
  <w:style w:type="character" w:customStyle="1" w:styleId="104">
    <w:name w:val="style41"/>
    <w:autoRedefine/>
    <w:qFormat/>
    <w:uiPriority w:val="0"/>
    <w:rPr>
      <w:b/>
      <w:bCs/>
      <w:color w:val="0000FF"/>
      <w:sz w:val="36"/>
      <w:szCs w:val="36"/>
    </w:rPr>
  </w:style>
  <w:style w:type="character" w:customStyle="1" w:styleId="105">
    <w:name w:val="引用 Char"/>
    <w:autoRedefine/>
    <w:qFormat/>
    <w:uiPriority w:val="0"/>
    <w:rPr>
      <w:rFonts w:ascii="Calibri" w:hAnsi="Calibri"/>
      <w:i/>
      <w:sz w:val="24"/>
      <w:szCs w:val="24"/>
    </w:rPr>
  </w:style>
  <w:style w:type="paragraph" w:styleId="106">
    <w:name w:val="Quote"/>
    <w:basedOn w:val="1"/>
    <w:next w:val="1"/>
    <w:link w:val="107"/>
    <w:autoRedefine/>
    <w:qFormat/>
    <w:uiPriority w:val="0"/>
    <w:pPr>
      <w:widowControl/>
      <w:jc w:val="left"/>
    </w:pPr>
    <w:rPr>
      <w:rFonts w:ascii="Calibri" w:hAnsi="Calibri"/>
      <w:i/>
      <w:kern w:val="0"/>
      <w:sz w:val="24"/>
      <w:szCs w:val="24"/>
    </w:rPr>
  </w:style>
  <w:style w:type="character" w:customStyle="1" w:styleId="107">
    <w:name w:val="引用 字符"/>
    <w:basedOn w:val="47"/>
    <w:link w:val="106"/>
    <w:autoRedefine/>
    <w:qFormat/>
    <w:uiPriority w:val="99"/>
    <w:rPr>
      <w:i/>
      <w:iCs/>
      <w:color w:val="000000"/>
      <w:kern w:val="2"/>
      <w:sz w:val="21"/>
      <w:szCs w:val="21"/>
    </w:rPr>
  </w:style>
  <w:style w:type="character" w:customStyle="1" w:styleId="108">
    <w:name w:val="正文（首行缩进两字） Char"/>
    <w:autoRedefine/>
    <w:qFormat/>
    <w:uiPriority w:val="0"/>
    <w:rPr>
      <w:rFonts w:eastAsia="宋体"/>
      <w:kern w:val="2"/>
      <w:sz w:val="21"/>
      <w:u w:val="single"/>
      <w:lang w:val="en-US" w:eastAsia="zh-CN" w:bidi="ar-SA"/>
    </w:rPr>
  </w:style>
  <w:style w:type="character" w:customStyle="1" w:styleId="109">
    <w:name w:val="bigfont"/>
    <w:basedOn w:val="47"/>
    <w:autoRedefine/>
    <w:qFormat/>
    <w:uiPriority w:val="99"/>
  </w:style>
  <w:style w:type="character" w:customStyle="1" w:styleId="110">
    <w:name w:val="Variable"/>
    <w:autoRedefine/>
    <w:qFormat/>
    <w:uiPriority w:val="0"/>
    <w:rPr>
      <w:i/>
    </w:rPr>
  </w:style>
  <w:style w:type="character" w:customStyle="1" w:styleId="111">
    <w:name w:val="样式 标题 3h3section:3Level 3 HeadH3level_3PIM 33rd level3H... Char Char"/>
    <w:link w:val="112"/>
    <w:autoRedefine/>
    <w:qFormat/>
    <w:uiPriority w:val="0"/>
    <w:rPr>
      <w:rFonts w:ascii="Arial" w:hAnsi="Arial"/>
      <w:b/>
      <w:kern w:val="2"/>
      <w:sz w:val="24"/>
      <w:szCs w:val="28"/>
    </w:rPr>
  </w:style>
  <w:style w:type="paragraph" w:customStyle="1" w:styleId="112">
    <w:name w:val="样式 标题 3h3section:3Level 3 HeadH3level_3PIM 33rd level3H..."/>
    <w:basedOn w:val="4"/>
    <w:link w:val="111"/>
    <w:autoRedefine/>
    <w:qFormat/>
    <w:uiPriority w:val="0"/>
    <w:pPr>
      <w:keepLines w:val="0"/>
      <w:widowControl/>
      <w:numPr>
        <w:ilvl w:val="3"/>
        <w:numId w:val="1"/>
      </w:numPr>
      <w:tabs>
        <w:tab w:val="left" w:pos="1680"/>
        <w:tab w:val="clear" w:pos="1980"/>
      </w:tabs>
      <w:adjustRightInd w:val="0"/>
      <w:spacing w:before="240" w:after="60" w:line="416" w:lineRule="atLeast"/>
      <w:jc w:val="left"/>
      <w:textAlignment w:val="baseline"/>
    </w:pPr>
    <w:rPr>
      <w:rFonts w:ascii="Arial" w:hAnsi="Arial" w:eastAsia="宋体"/>
      <w:bCs w:val="0"/>
      <w:sz w:val="24"/>
      <w:szCs w:val="28"/>
    </w:rPr>
  </w:style>
  <w:style w:type="paragraph" w:customStyle="1" w:styleId="113">
    <w:name w:val="blockquote"/>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114">
    <w:name w:val="Char1"/>
    <w:basedOn w:val="1"/>
    <w:autoRedefine/>
    <w:qFormat/>
    <w:uiPriority w:val="0"/>
    <w:rPr>
      <w:sz w:val="24"/>
      <w:szCs w:val="24"/>
    </w:rPr>
  </w:style>
  <w:style w:type="paragraph" w:customStyle="1" w:styleId="115">
    <w:name w:val="样式8"/>
    <w:basedOn w:val="1"/>
    <w:autoRedefine/>
    <w:qFormat/>
    <w:uiPriority w:val="99"/>
    <w:pPr>
      <w:keepNext/>
      <w:keepLines/>
      <w:widowControl/>
      <w:spacing w:before="260" w:after="260"/>
      <w:jc w:val="center"/>
      <w:outlineLvl w:val="1"/>
    </w:pPr>
    <w:rPr>
      <w:rFonts w:ascii="Arial" w:hAnsi="Arial" w:eastAsia="黑体"/>
      <w:b/>
      <w:bCs/>
      <w:kern w:val="0"/>
      <w:sz w:val="72"/>
      <w:szCs w:val="32"/>
    </w:rPr>
  </w:style>
  <w:style w:type="paragraph" w:customStyle="1" w:styleId="116">
    <w:name w:val="Address"/>
    <w:basedOn w:val="1"/>
    <w:next w:val="1"/>
    <w:autoRedefine/>
    <w:qFormat/>
    <w:uiPriority w:val="0"/>
    <w:pPr>
      <w:widowControl/>
      <w:autoSpaceDE w:val="0"/>
      <w:autoSpaceDN w:val="0"/>
      <w:adjustRightInd w:val="0"/>
      <w:jc w:val="left"/>
    </w:pPr>
    <w:rPr>
      <w:rFonts w:ascii="Calibri" w:hAnsi="Calibri"/>
      <w:i/>
      <w:kern w:val="0"/>
      <w:sz w:val="24"/>
      <w:szCs w:val="20"/>
    </w:rPr>
  </w:style>
  <w:style w:type="paragraph" w:customStyle="1" w:styleId="117">
    <w:name w:val="样式3"/>
    <w:basedOn w:val="1"/>
    <w:autoRedefine/>
    <w:qFormat/>
    <w:uiPriority w:val="99"/>
    <w:pPr>
      <w:widowControl/>
      <w:spacing w:line="360" w:lineRule="auto"/>
    </w:pPr>
    <w:rPr>
      <w:rFonts w:ascii="仿宋_GB2312" w:hAnsi="仿宋_GB2312" w:eastAsia="仿宋_GB2312"/>
      <w:snapToGrid w:val="0"/>
      <w:color w:val="000000"/>
      <w:kern w:val="0"/>
      <w:sz w:val="28"/>
      <w:szCs w:val="30"/>
    </w:rPr>
  </w:style>
  <w:style w:type="paragraph" w:customStyle="1" w:styleId="118">
    <w:name w:val="样式1"/>
    <w:basedOn w:val="1"/>
    <w:autoRedefine/>
    <w:qFormat/>
    <w:uiPriority w:val="99"/>
    <w:pPr>
      <w:widowControl/>
      <w:adjustRightInd w:val="0"/>
      <w:snapToGrid w:val="0"/>
      <w:ind w:firstLine="560" w:firstLineChars="200"/>
    </w:pPr>
    <w:rPr>
      <w:rFonts w:eastAsia="仿宋_GB2312"/>
      <w:snapToGrid w:val="0"/>
      <w:color w:val="000000"/>
      <w:kern w:val="0"/>
      <w:sz w:val="28"/>
      <w:szCs w:val="30"/>
      <w:u w:val="single"/>
    </w:rPr>
  </w:style>
  <w:style w:type="paragraph" w:customStyle="1" w:styleId="119">
    <w:name w:val="Char3"/>
    <w:basedOn w:val="1"/>
    <w:autoRedefine/>
    <w:qFormat/>
    <w:uiPriority w:val="0"/>
    <w:pPr>
      <w:numPr>
        <w:ilvl w:val="0"/>
        <w:numId w:val="1"/>
      </w:numPr>
    </w:pPr>
    <w:rPr>
      <w:sz w:val="24"/>
      <w:szCs w:val="24"/>
    </w:rPr>
  </w:style>
  <w:style w:type="paragraph" w:customStyle="1" w:styleId="120">
    <w:name w:val="样式 标题 2 + Times New Roman 四号 非加粗 段前: 5 磅 段后: 0 磅 行距: 固定值 20..."/>
    <w:basedOn w:val="3"/>
    <w:autoRedefine/>
    <w:qFormat/>
    <w:uiPriority w:val="0"/>
    <w:pPr>
      <w:keepLines w:val="0"/>
      <w:widowControl/>
      <w:spacing w:before="100" w:after="0" w:line="400" w:lineRule="exact"/>
      <w:jc w:val="left"/>
    </w:pPr>
    <w:rPr>
      <w:rFonts w:ascii="Times New Roman" w:hAnsi="Times New Roman" w:eastAsia="宋体" w:cs="宋体"/>
      <w:b w:val="0"/>
      <w:bCs w:val="0"/>
      <w:i/>
      <w:iCs/>
      <w:kern w:val="0"/>
      <w:sz w:val="28"/>
      <w:szCs w:val="20"/>
    </w:rPr>
  </w:style>
  <w:style w:type="paragraph" w:customStyle="1" w:styleId="121">
    <w:name w:val="样式2"/>
    <w:basedOn w:val="1"/>
    <w:autoRedefine/>
    <w:qFormat/>
    <w:uiPriority w:val="99"/>
    <w:pPr>
      <w:widowControl/>
      <w:spacing w:line="360" w:lineRule="auto"/>
      <w:jc w:val="left"/>
    </w:pPr>
    <w:rPr>
      <w:rFonts w:ascii="仿宋_GB2312" w:hAnsi="仿宋_GB2312" w:eastAsia="仿宋_GB2312"/>
      <w:snapToGrid w:val="0"/>
      <w:kern w:val="0"/>
      <w:sz w:val="28"/>
      <w:szCs w:val="30"/>
    </w:rPr>
  </w:style>
  <w:style w:type="paragraph" w:customStyle="1" w:styleId="122">
    <w:name w:val="样式 标题 3 + (中文) 黑体 小四 非加粗 段前: 7.8 磅 段后: 0 磅 行距: 固定值 20 磅"/>
    <w:basedOn w:val="4"/>
    <w:autoRedefine/>
    <w:qFormat/>
    <w:uiPriority w:val="0"/>
    <w:pPr>
      <w:keepLines w:val="0"/>
      <w:widowControl/>
      <w:spacing w:before="0" w:after="0" w:line="400" w:lineRule="exact"/>
      <w:jc w:val="left"/>
    </w:pPr>
    <w:rPr>
      <w:rFonts w:ascii="Cambria" w:hAnsi="Cambria" w:eastAsia="黑体" w:cs="宋体"/>
      <w:b w:val="0"/>
      <w:bCs w:val="0"/>
      <w:kern w:val="0"/>
      <w:sz w:val="24"/>
      <w:szCs w:val="20"/>
    </w:rPr>
  </w:style>
  <w:style w:type="paragraph" w:styleId="123">
    <w:name w:val="List Paragraph"/>
    <w:basedOn w:val="1"/>
    <w:autoRedefine/>
    <w:qFormat/>
    <w:uiPriority w:val="0"/>
    <w:pPr>
      <w:ind w:firstLine="420" w:firstLineChars="200"/>
    </w:pPr>
    <w:rPr>
      <w:szCs w:val="24"/>
    </w:rPr>
  </w:style>
  <w:style w:type="character" w:customStyle="1" w:styleId="124">
    <w:name w:val="纯文本 Char1"/>
    <w:autoRedefine/>
    <w:qFormat/>
    <w:uiPriority w:val="0"/>
    <w:rPr>
      <w:rFonts w:ascii="宋体" w:hAnsi="Courier New" w:cs="Courier New"/>
      <w:szCs w:val="21"/>
    </w:rPr>
  </w:style>
  <w:style w:type="character" w:customStyle="1" w:styleId="125">
    <w:name w:val="正文文本 Char_0"/>
    <w:link w:val="126"/>
    <w:autoRedefine/>
    <w:qFormat/>
    <w:uiPriority w:val="0"/>
  </w:style>
  <w:style w:type="paragraph" w:customStyle="1" w:styleId="126">
    <w:name w:val="正文文本_0"/>
    <w:basedOn w:val="127"/>
    <w:link w:val="125"/>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127">
    <w:name w:val="正文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8">
    <w:name w:val="Blockquote Char_0"/>
    <w:link w:val="129"/>
    <w:autoRedefine/>
    <w:qFormat/>
    <w:uiPriority w:val="0"/>
    <w:rPr>
      <w:sz w:val="24"/>
    </w:rPr>
  </w:style>
  <w:style w:type="paragraph" w:customStyle="1" w:styleId="129">
    <w:name w:val="Blockquote_0"/>
    <w:basedOn w:val="130"/>
    <w:link w:val="128"/>
    <w:autoRedefine/>
    <w:qFormat/>
    <w:uiPriority w:val="0"/>
    <w:pPr>
      <w:autoSpaceDE w:val="0"/>
      <w:autoSpaceDN w:val="0"/>
      <w:adjustRightInd w:val="0"/>
      <w:spacing w:before="100" w:after="100"/>
      <w:ind w:left="360" w:right="360"/>
    </w:pPr>
    <w:rPr>
      <w:rFonts w:ascii="Calibri" w:hAnsi="Calibri"/>
      <w:kern w:val="0"/>
      <w:sz w:val="24"/>
    </w:rPr>
  </w:style>
  <w:style w:type="paragraph" w:customStyle="1" w:styleId="130">
    <w:name w:val="正文_0"/>
    <w:autoRedefine/>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31">
    <w:name w:val="样式 标题 3h3section:3Level 3 HeadH3level_3PIM 33rd level3H... Char"/>
    <w:autoRedefine/>
    <w:qFormat/>
    <w:uiPriority w:val="0"/>
    <w:rPr>
      <w:rFonts w:ascii="Arial" w:hAnsi="Arial" w:cs="Arial"/>
      <w:b/>
      <w:bCs/>
      <w:sz w:val="24"/>
      <w:szCs w:val="28"/>
    </w:rPr>
  </w:style>
  <w:style w:type="character" w:customStyle="1" w:styleId="132">
    <w:name w:val="标题6 Char"/>
    <w:link w:val="133"/>
    <w:autoRedefine/>
    <w:qFormat/>
    <w:uiPriority w:val="0"/>
    <w:rPr>
      <w:rFonts w:ascii="宋体" w:hAnsi="宋体" w:eastAsia="黑体" w:cs="宋体"/>
      <w:sz w:val="32"/>
      <w:szCs w:val="32"/>
    </w:rPr>
  </w:style>
  <w:style w:type="paragraph" w:customStyle="1" w:styleId="133">
    <w:name w:val="标题6"/>
    <w:basedOn w:val="1"/>
    <w:link w:val="132"/>
    <w:autoRedefine/>
    <w:qFormat/>
    <w:uiPriority w:val="0"/>
    <w:pPr>
      <w:keepNext/>
      <w:keepLines/>
      <w:spacing w:line="400" w:lineRule="exact"/>
      <w:jc w:val="center"/>
      <w:outlineLvl w:val="2"/>
    </w:pPr>
    <w:rPr>
      <w:rFonts w:ascii="宋体" w:hAnsi="宋体" w:eastAsia="黑体"/>
      <w:kern w:val="0"/>
      <w:sz w:val="32"/>
      <w:szCs w:val="32"/>
    </w:rPr>
  </w:style>
  <w:style w:type="character" w:customStyle="1" w:styleId="134">
    <w:name w:val="标题 3 Char_0"/>
    <w:link w:val="135"/>
    <w:autoRedefine/>
    <w:qFormat/>
    <w:uiPriority w:val="9"/>
    <w:rPr>
      <w:b/>
      <w:bCs/>
      <w:sz w:val="32"/>
      <w:szCs w:val="32"/>
    </w:rPr>
  </w:style>
  <w:style w:type="paragraph" w:customStyle="1" w:styleId="135">
    <w:name w:val="标题 3_0"/>
    <w:basedOn w:val="127"/>
    <w:next w:val="127"/>
    <w:link w:val="134"/>
    <w:autoRedefine/>
    <w:qFormat/>
    <w:uiPriority w:val="9"/>
    <w:pPr>
      <w:keepNext/>
      <w:keepLines/>
      <w:spacing w:before="260" w:after="260" w:line="413" w:lineRule="auto"/>
      <w:outlineLvl w:val="2"/>
    </w:pPr>
    <w:rPr>
      <w:rFonts w:ascii="Calibri" w:hAnsi="Calibri"/>
      <w:b/>
      <w:bCs/>
      <w:kern w:val="0"/>
      <w:sz w:val="32"/>
      <w:szCs w:val="32"/>
    </w:rPr>
  </w:style>
  <w:style w:type="character" w:customStyle="1" w:styleId="136">
    <w:name w:val="纯文本 Char1_0"/>
    <w:link w:val="137"/>
    <w:autoRedefine/>
    <w:qFormat/>
    <w:uiPriority w:val="99"/>
    <w:rPr>
      <w:rFonts w:ascii="宋体" w:hAnsi="Courier New" w:cs="Courier New"/>
      <w:szCs w:val="21"/>
    </w:rPr>
  </w:style>
  <w:style w:type="paragraph" w:customStyle="1" w:styleId="137">
    <w:name w:val="纯文本_0"/>
    <w:basedOn w:val="130"/>
    <w:link w:val="136"/>
    <w:autoRedefine/>
    <w:qFormat/>
    <w:uiPriority w:val="99"/>
    <w:rPr>
      <w:rFonts w:ascii="宋体" w:hAnsi="Courier New"/>
      <w:kern w:val="0"/>
      <w:sz w:val="20"/>
      <w:szCs w:val="21"/>
    </w:rPr>
  </w:style>
  <w:style w:type="character" w:customStyle="1" w:styleId="138">
    <w:name w:val="标题 4 Char_0"/>
    <w:link w:val="139"/>
    <w:autoRedefine/>
    <w:qFormat/>
    <w:uiPriority w:val="9"/>
    <w:rPr>
      <w:rFonts w:ascii="Cambria" w:hAnsi="Cambria"/>
      <w:b/>
      <w:bCs/>
      <w:sz w:val="28"/>
      <w:szCs w:val="28"/>
    </w:rPr>
  </w:style>
  <w:style w:type="paragraph" w:customStyle="1" w:styleId="139">
    <w:name w:val="标题 4_0"/>
    <w:basedOn w:val="127"/>
    <w:next w:val="127"/>
    <w:link w:val="138"/>
    <w:autoRedefine/>
    <w:qFormat/>
    <w:uiPriority w:val="9"/>
    <w:pPr>
      <w:keepNext/>
      <w:keepLines/>
      <w:spacing w:before="280" w:after="290" w:line="372" w:lineRule="auto"/>
      <w:outlineLvl w:val="3"/>
    </w:pPr>
    <w:rPr>
      <w:rFonts w:ascii="Cambria" w:hAnsi="Cambria"/>
      <w:b/>
      <w:bCs/>
      <w:kern w:val="0"/>
      <w:sz w:val="28"/>
      <w:szCs w:val="28"/>
    </w:rPr>
  </w:style>
  <w:style w:type="character" w:customStyle="1" w:styleId="140">
    <w:name w:val="Blockquote Char"/>
    <w:autoRedefine/>
    <w:qFormat/>
    <w:uiPriority w:val="0"/>
    <w:rPr>
      <w:sz w:val="24"/>
    </w:rPr>
  </w:style>
  <w:style w:type="character" w:customStyle="1" w:styleId="141">
    <w:name w:val="标题 Char_0"/>
    <w:link w:val="142"/>
    <w:autoRedefine/>
    <w:qFormat/>
    <w:uiPriority w:val="0"/>
    <w:rPr>
      <w:rFonts w:ascii="黑体" w:hAnsi="Arial" w:eastAsia="黑体" w:cs="Arial"/>
      <w:b/>
      <w:bCs/>
      <w:sz w:val="32"/>
      <w:szCs w:val="32"/>
    </w:rPr>
  </w:style>
  <w:style w:type="paragraph" w:customStyle="1" w:styleId="142">
    <w:name w:val="标题_0"/>
    <w:basedOn w:val="143"/>
    <w:link w:val="141"/>
    <w:autoRedefine/>
    <w:qFormat/>
    <w:uiPriority w:val="0"/>
    <w:pPr>
      <w:spacing w:before="120" w:after="120" w:line="360" w:lineRule="auto"/>
      <w:jc w:val="center"/>
      <w:outlineLvl w:val="0"/>
    </w:pPr>
    <w:rPr>
      <w:rFonts w:ascii="黑体" w:hAnsi="Arial" w:eastAsia="黑体"/>
      <w:b/>
      <w:bCs/>
      <w:sz w:val="32"/>
      <w:szCs w:val="32"/>
    </w:rPr>
  </w:style>
  <w:style w:type="paragraph" w:customStyle="1" w:styleId="143">
    <w:name w:val="正文_1"/>
    <w:autoRedefine/>
    <w:qFormat/>
    <w:uiPriority w:val="0"/>
    <w:rPr>
      <w:rFonts w:ascii="Times New Roman" w:hAnsi="Times New Roman" w:eastAsia="宋体" w:cs="Times New Roman"/>
      <w:lang w:val="en-US" w:eastAsia="zh-CN" w:bidi="ar-SA"/>
    </w:rPr>
  </w:style>
  <w:style w:type="paragraph" w:customStyle="1" w:styleId="144">
    <w:name w:val="Table Paragraph"/>
    <w:basedOn w:val="1"/>
    <w:autoRedefine/>
    <w:qFormat/>
    <w:uiPriority w:val="99"/>
    <w:pPr>
      <w:jc w:val="left"/>
    </w:pPr>
    <w:rPr>
      <w:rFonts w:ascii="Calibri" w:hAnsi="Calibri" w:cs="Calibri"/>
      <w:kern w:val="0"/>
      <w:sz w:val="22"/>
      <w:szCs w:val="22"/>
      <w:lang w:eastAsia="en-US"/>
    </w:rPr>
  </w:style>
  <w:style w:type="paragraph" w:customStyle="1" w:styleId="145">
    <w:name w:val="Char11"/>
    <w:basedOn w:val="1"/>
    <w:autoRedefine/>
    <w:qFormat/>
    <w:uiPriority w:val="0"/>
    <w:rPr>
      <w:sz w:val="24"/>
      <w:szCs w:val="24"/>
    </w:rPr>
  </w:style>
  <w:style w:type="paragraph" w:customStyle="1" w:styleId="146">
    <w:name w:val="Heading 41"/>
    <w:basedOn w:val="1"/>
    <w:autoRedefine/>
    <w:qFormat/>
    <w:uiPriority w:val="99"/>
    <w:pPr>
      <w:jc w:val="left"/>
      <w:outlineLvl w:val="4"/>
    </w:pPr>
    <w:rPr>
      <w:rFonts w:ascii="宋体" w:hAnsi="宋体" w:cs="宋体"/>
      <w:kern w:val="0"/>
      <w:sz w:val="32"/>
      <w:szCs w:val="32"/>
      <w:lang w:eastAsia="en-US"/>
    </w:rPr>
  </w:style>
  <w:style w:type="character" w:customStyle="1" w:styleId="147">
    <w:name w:val="正文文本 Char1"/>
    <w:autoRedefine/>
    <w:qFormat/>
    <w:uiPriority w:val="0"/>
    <w:rPr>
      <w:rFonts w:ascii="Times New Roman" w:hAnsi="Times New Roman"/>
      <w:kern w:val="2"/>
      <w:sz w:val="21"/>
    </w:rPr>
  </w:style>
  <w:style w:type="character" w:customStyle="1" w:styleId="148">
    <w:name w:val="标题 Char1"/>
    <w:autoRedefine/>
    <w:qFormat/>
    <w:uiPriority w:val="10"/>
    <w:rPr>
      <w:rFonts w:ascii="Cambria" w:hAnsi="Cambria" w:cs="Times New Roman"/>
      <w:b/>
      <w:bCs/>
      <w:kern w:val="2"/>
      <w:sz w:val="32"/>
      <w:szCs w:val="32"/>
    </w:rPr>
  </w:style>
  <w:style w:type="paragraph" w:customStyle="1" w:styleId="149">
    <w:name w:val="修订1"/>
    <w:autoRedefine/>
    <w:qFormat/>
    <w:uiPriority w:val="0"/>
    <w:rPr>
      <w:rFonts w:ascii="Times New Roman" w:hAnsi="Times New Roman" w:eastAsia="宋体" w:cs="Times New Roman"/>
      <w:kern w:val="2"/>
      <w:sz w:val="21"/>
      <w:lang w:val="en-US" w:eastAsia="zh-CN" w:bidi="ar-SA"/>
    </w:rPr>
  </w:style>
  <w:style w:type="paragraph" w:customStyle="1" w:styleId="150">
    <w:name w:val="TOC 标题1"/>
    <w:basedOn w:val="2"/>
    <w:next w:val="1"/>
    <w:autoRedefine/>
    <w:qFormat/>
    <w:uiPriority w:val="0"/>
    <w:pPr>
      <w:widowControl/>
      <w:spacing w:before="480" w:after="0" w:line="276" w:lineRule="auto"/>
      <w:jc w:val="both"/>
      <w:outlineLvl w:val="9"/>
    </w:pPr>
    <w:rPr>
      <w:rFonts w:ascii="Cambria" w:hAnsi="Cambria" w:eastAsia="宋体"/>
      <w:bCs w:val="0"/>
      <w:color w:val="365F91"/>
      <w:kern w:val="0"/>
      <w:sz w:val="28"/>
      <w:szCs w:val="20"/>
    </w:rPr>
  </w:style>
  <w:style w:type="paragraph" w:customStyle="1" w:styleId="151">
    <w:name w:val="Heading 71"/>
    <w:basedOn w:val="1"/>
    <w:autoRedefine/>
    <w:qFormat/>
    <w:uiPriority w:val="99"/>
    <w:pPr>
      <w:jc w:val="left"/>
      <w:outlineLvl w:val="7"/>
    </w:pPr>
    <w:rPr>
      <w:rFonts w:ascii="宋体" w:hAnsi="宋体" w:cs="宋体"/>
      <w:kern w:val="0"/>
      <w:sz w:val="28"/>
      <w:szCs w:val="28"/>
      <w:lang w:eastAsia="en-US"/>
    </w:rPr>
  </w:style>
  <w:style w:type="paragraph" w:customStyle="1" w:styleId="152">
    <w:name w:val="Char2"/>
    <w:basedOn w:val="1"/>
    <w:autoRedefine/>
    <w:qFormat/>
    <w:uiPriority w:val="0"/>
    <w:pPr>
      <w:tabs>
        <w:tab w:val="left" w:pos="1350"/>
      </w:tabs>
      <w:ind w:left="1350" w:hanging="1350"/>
    </w:pPr>
    <w:rPr>
      <w:sz w:val="24"/>
      <w:szCs w:val="24"/>
    </w:rPr>
  </w:style>
  <w:style w:type="character" w:customStyle="1" w:styleId="153">
    <w:name w:val="批注主题 Char1"/>
    <w:autoRedefine/>
    <w:qFormat/>
    <w:uiPriority w:val="0"/>
    <w:rPr>
      <w:rFonts w:ascii="Times New Roman" w:hAnsi="Times New Roman"/>
      <w:b/>
      <w:bCs/>
      <w:kern w:val="2"/>
      <w:sz w:val="21"/>
    </w:rPr>
  </w:style>
  <w:style w:type="paragraph" w:customStyle="1" w:styleId="154">
    <w:name w:val="正文缩进_0"/>
    <w:basedOn w:val="143"/>
    <w:autoRedefine/>
    <w:qFormat/>
    <w:uiPriority w:val="0"/>
    <w:pPr>
      <w:widowControl w:val="0"/>
      <w:ind w:firstLine="420"/>
      <w:jc w:val="both"/>
    </w:pPr>
    <w:rPr>
      <w:kern w:val="2"/>
      <w:sz w:val="21"/>
      <w:u w:val="single"/>
    </w:rPr>
  </w:style>
  <w:style w:type="paragraph" w:customStyle="1" w:styleId="155">
    <w:name w:val="普通(网站)1"/>
    <w:basedOn w:val="1"/>
    <w:autoRedefine/>
    <w:qFormat/>
    <w:uiPriority w:val="0"/>
    <w:pPr>
      <w:widowControl/>
      <w:spacing w:before="100" w:after="100"/>
      <w:jc w:val="left"/>
    </w:pPr>
    <w:rPr>
      <w:rFonts w:ascii="宋体" w:hAnsi="宋体"/>
      <w:kern w:val="0"/>
      <w:sz w:val="24"/>
      <w:szCs w:val="20"/>
    </w:rPr>
  </w:style>
  <w:style w:type="character" w:customStyle="1" w:styleId="156">
    <w:name w:val="Char Char2"/>
    <w:autoRedefine/>
    <w:qFormat/>
    <w:uiPriority w:val="0"/>
    <w:rPr>
      <w:rFonts w:ascii="宋体" w:hAnsi="宋体" w:eastAsia="宋体"/>
      <w:kern w:val="2"/>
      <w:sz w:val="24"/>
      <w:szCs w:val="20"/>
      <w:lang w:val="en-US" w:eastAsia="zh-CN" w:bidi="ar-SA"/>
    </w:rPr>
  </w:style>
  <w:style w:type="character" w:customStyle="1" w:styleId="157">
    <w:name w:val="正文缩进 Char Char"/>
    <w:autoRedefine/>
    <w:qFormat/>
    <w:uiPriority w:val="0"/>
    <w:rPr>
      <w:rFonts w:ascii="宋体" w:hAnsi="宋体" w:eastAsia="宋体"/>
      <w:kern w:val="2"/>
      <w:sz w:val="24"/>
      <w:szCs w:val="20"/>
      <w:lang w:val="en-US" w:eastAsia="zh-CN" w:bidi="ar-SA"/>
    </w:rPr>
  </w:style>
  <w:style w:type="paragraph" w:customStyle="1" w:styleId="158">
    <w:name w:val="注"/>
    <w:basedOn w:val="1"/>
    <w:autoRedefine/>
    <w:qFormat/>
    <w:uiPriority w:val="0"/>
    <w:pPr>
      <w:adjustRightInd w:val="0"/>
      <w:spacing w:line="360" w:lineRule="atLeast"/>
      <w:ind w:left="840" w:hanging="420"/>
      <w:textAlignment w:val="baseline"/>
    </w:pPr>
    <w:rPr>
      <w:rFonts w:ascii="宋体" w:hAnsi="宋体"/>
      <w:kern w:val="0"/>
      <w:sz w:val="36"/>
      <w:szCs w:val="20"/>
    </w:rPr>
  </w:style>
  <w:style w:type="paragraph" w:customStyle="1" w:styleId="159">
    <w:name w:val="样式 左侧:  0 厘米 悬挂缩进: 2 字符"/>
    <w:basedOn w:val="1"/>
    <w:autoRedefine/>
    <w:qFormat/>
    <w:uiPriority w:val="0"/>
    <w:pPr>
      <w:widowControl/>
      <w:spacing w:before="160" w:after="160" w:line="360" w:lineRule="auto"/>
      <w:ind w:firstLine="200" w:firstLineChars="200"/>
    </w:pPr>
    <w:rPr>
      <w:rFonts w:ascii="Arial" w:hAnsi="Arial" w:cs="宋体"/>
      <w:kern w:val="0"/>
      <w:sz w:val="28"/>
      <w:szCs w:val="44"/>
      <w:lang w:val="zh-CN"/>
    </w:rPr>
  </w:style>
  <w:style w:type="paragraph" w:customStyle="1" w:styleId="160">
    <w:name w:val="列出段落1"/>
    <w:link w:val="161"/>
    <w:autoRedefine/>
    <w:qFormat/>
    <w:uiPriority w:val="0"/>
    <w:pPr>
      <w:ind w:firstLine="420" w:firstLineChars="200"/>
    </w:pPr>
    <w:rPr>
      <w:rFonts w:ascii="Calibri" w:hAnsi="Calibri" w:eastAsia="宋体" w:cs="Arial"/>
      <w:lang w:val="en-US" w:eastAsia="zh-CN" w:bidi="ar-SA"/>
    </w:rPr>
  </w:style>
  <w:style w:type="character" w:customStyle="1" w:styleId="161">
    <w:name w:val="列出段落 Char"/>
    <w:link w:val="160"/>
    <w:autoRedefine/>
    <w:qFormat/>
    <w:locked/>
    <w:uiPriority w:val="0"/>
    <w:rPr>
      <w:rFonts w:cs="Arial"/>
      <w:lang w:val="en-US" w:eastAsia="zh-CN" w:bidi="ar-SA"/>
    </w:rPr>
  </w:style>
  <w:style w:type="paragraph" w:customStyle="1" w:styleId="162">
    <w:name w:val="正文文字2"/>
    <w:basedOn w:val="18"/>
    <w:autoRedefine/>
    <w:qFormat/>
    <w:uiPriority w:val="0"/>
    <w:pPr>
      <w:adjustRightInd w:val="0"/>
      <w:spacing w:after="60" w:line="360" w:lineRule="atLeast"/>
      <w:ind w:left="72" w:leftChars="30" w:right="72" w:rightChars="30"/>
      <w:jc w:val="center"/>
      <w:textAlignment w:val="baseline"/>
    </w:pPr>
    <w:rPr>
      <w:rFonts w:ascii="Arial" w:eastAsia="黑体" w:cs="Times New Roman"/>
      <w:kern w:val="0"/>
      <w:sz w:val="36"/>
      <w:szCs w:val="20"/>
    </w:rPr>
  </w:style>
  <w:style w:type="paragraph" w:customStyle="1" w:styleId="163">
    <w:name w:val="正文文字1"/>
    <w:basedOn w:val="18"/>
    <w:autoRedefine/>
    <w:qFormat/>
    <w:uiPriority w:val="0"/>
    <w:pPr>
      <w:adjustRightInd w:val="0"/>
      <w:spacing w:line="360" w:lineRule="atLeast"/>
      <w:ind w:left="72" w:leftChars="30" w:right="72" w:rightChars="30"/>
      <w:textAlignment w:val="baseline"/>
    </w:pPr>
    <w:rPr>
      <w:rFonts w:ascii="宋体" w:eastAsia="宋体" w:cs="Times New Roman"/>
      <w:kern w:val="0"/>
      <w:sz w:val="36"/>
      <w:szCs w:val="20"/>
    </w:rPr>
  </w:style>
  <w:style w:type="paragraph" w:customStyle="1" w:styleId="164">
    <w:name w:val="默认段落字体 Para Char Char Char Char Char Char Char"/>
    <w:basedOn w:val="1"/>
    <w:autoRedefine/>
    <w:qFormat/>
    <w:uiPriority w:val="0"/>
    <w:rPr>
      <w:rFonts w:ascii="Tahoma" w:hAnsi="Tahoma"/>
      <w:b/>
      <w:sz w:val="24"/>
      <w:szCs w:val="20"/>
    </w:rPr>
  </w:style>
  <w:style w:type="paragraph" w:customStyle="1" w:styleId="16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66">
    <w:name w:val="p0"/>
    <w:basedOn w:val="1"/>
    <w:autoRedefine/>
    <w:qFormat/>
    <w:uiPriority w:val="0"/>
    <w:pPr>
      <w:widowControl/>
    </w:pPr>
    <w:rPr>
      <w:kern w:val="0"/>
    </w:rPr>
  </w:style>
  <w:style w:type="character" w:customStyle="1" w:styleId="167">
    <w:name w:val="批注框文本 Char1"/>
    <w:autoRedefine/>
    <w:qFormat/>
    <w:uiPriority w:val="0"/>
    <w:rPr>
      <w:kern w:val="2"/>
      <w:sz w:val="18"/>
      <w:szCs w:val="18"/>
    </w:rPr>
  </w:style>
  <w:style w:type="character" w:customStyle="1" w:styleId="168">
    <w:name w:val="日期 Char1"/>
    <w:autoRedefine/>
    <w:qFormat/>
    <w:uiPriority w:val="0"/>
    <w:rPr>
      <w:kern w:val="2"/>
      <w:sz w:val="21"/>
      <w:szCs w:val="22"/>
    </w:rPr>
  </w:style>
  <w:style w:type="character" w:customStyle="1" w:styleId="169">
    <w:name w:val="批注文字 Char Char"/>
    <w:autoRedefine/>
    <w:qFormat/>
    <w:uiPriority w:val="0"/>
    <w:rPr>
      <w:rFonts w:ascii="宋体" w:hAnsi="Times New Roman" w:eastAsia="宋体" w:cs="Times New Roman"/>
      <w:sz w:val="28"/>
      <w:szCs w:val="20"/>
    </w:rPr>
  </w:style>
  <w:style w:type="character" w:customStyle="1" w:styleId="170">
    <w:name w:val="标题5 Char Char"/>
    <w:link w:val="171"/>
    <w:autoRedefine/>
    <w:qFormat/>
    <w:uiPriority w:val="0"/>
    <w:rPr>
      <w:rFonts w:ascii="Arial" w:hAnsi="Arial"/>
      <w:b/>
      <w:bCs/>
      <w:sz w:val="24"/>
      <w:szCs w:val="32"/>
    </w:rPr>
  </w:style>
  <w:style w:type="paragraph" w:customStyle="1" w:styleId="171">
    <w:name w:val="标题5"/>
    <w:basedOn w:val="4"/>
    <w:link w:val="170"/>
    <w:autoRedefine/>
    <w:qFormat/>
    <w:uiPriority w:val="0"/>
    <w:pPr>
      <w:jc w:val="both"/>
    </w:pPr>
    <w:rPr>
      <w:rFonts w:ascii="Arial" w:hAnsi="Arial" w:eastAsia="宋体"/>
      <w:kern w:val="0"/>
      <w:sz w:val="24"/>
      <w:szCs w:val="32"/>
    </w:rPr>
  </w:style>
  <w:style w:type="character" w:customStyle="1" w:styleId="172">
    <w:name w:val="textcontents"/>
    <w:autoRedefine/>
    <w:qFormat/>
    <w:uiPriority w:val="0"/>
    <w:rPr>
      <w:rFonts w:cs="Times New Roman"/>
    </w:rPr>
  </w:style>
  <w:style w:type="character" w:customStyle="1" w:styleId="173">
    <w:name w:val="文档结构图 Char1"/>
    <w:autoRedefine/>
    <w:qFormat/>
    <w:uiPriority w:val="0"/>
    <w:rPr>
      <w:rFonts w:ascii="宋体"/>
      <w:kern w:val="2"/>
      <w:sz w:val="18"/>
      <w:szCs w:val="18"/>
    </w:rPr>
  </w:style>
  <w:style w:type="character" w:customStyle="1" w:styleId="174">
    <w:name w:val="副标题 Char1"/>
    <w:autoRedefine/>
    <w:qFormat/>
    <w:uiPriority w:val="11"/>
    <w:rPr>
      <w:rFonts w:ascii="Cambria" w:hAnsi="Cambria" w:cs="Times New Roman"/>
      <w:b/>
      <w:bCs/>
      <w:kern w:val="28"/>
      <w:sz w:val="32"/>
      <w:szCs w:val="32"/>
    </w:rPr>
  </w:style>
  <w:style w:type="character" w:customStyle="1" w:styleId="175">
    <w:name w:val="标题 Char2"/>
    <w:autoRedefine/>
    <w:qFormat/>
    <w:uiPriority w:val="10"/>
    <w:rPr>
      <w:rFonts w:ascii="Cambria" w:hAnsi="Cambria" w:cs="Times New Roman"/>
      <w:b/>
      <w:bCs/>
      <w:kern w:val="2"/>
      <w:sz w:val="32"/>
      <w:szCs w:val="32"/>
    </w:rPr>
  </w:style>
  <w:style w:type="character" w:customStyle="1" w:styleId="176">
    <w:name w:val="副标题 Char2"/>
    <w:autoRedefine/>
    <w:qFormat/>
    <w:uiPriority w:val="11"/>
    <w:rPr>
      <w:rFonts w:ascii="Cambria" w:hAnsi="Cambria" w:cs="Times New Roman"/>
      <w:b/>
      <w:bCs/>
      <w:kern w:val="28"/>
      <w:sz w:val="32"/>
      <w:szCs w:val="32"/>
    </w:rPr>
  </w:style>
  <w:style w:type="paragraph" w:customStyle="1" w:styleId="17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8">
    <w:name w:val="引用 Char2"/>
    <w:autoRedefine/>
    <w:qFormat/>
    <w:uiPriority w:val="29"/>
    <w:rPr>
      <w:rFonts w:ascii="宋体" w:hAnsi="宋体"/>
      <w:i/>
      <w:iCs/>
      <w:color w:val="000000"/>
      <w:kern w:val="2"/>
      <w:sz w:val="36"/>
      <w:szCs w:val="36"/>
    </w:rPr>
  </w:style>
  <w:style w:type="character" w:customStyle="1" w:styleId="179">
    <w:name w:val="明显引用 Char2"/>
    <w:autoRedefine/>
    <w:qFormat/>
    <w:uiPriority w:val="30"/>
    <w:rPr>
      <w:rFonts w:ascii="宋体" w:hAnsi="宋体"/>
      <w:b/>
      <w:bCs/>
      <w:i/>
      <w:iCs/>
      <w:color w:val="4F81BD"/>
      <w:kern w:val="2"/>
      <w:sz w:val="36"/>
      <w:szCs w:val="36"/>
    </w:rPr>
  </w:style>
  <w:style w:type="paragraph" w:customStyle="1" w:styleId="18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2">
    <w:name w:val="Normal_3"/>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83">
    <w:name w:val="普通(网站)11"/>
    <w:basedOn w:val="1"/>
    <w:autoRedefine/>
    <w:qFormat/>
    <w:uiPriority w:val="0"/>
    <w:pPr>
      <w:widowControl/>
      <w:spacing w:before="100" w:after="100"/>
      <w:jc w:val="left"/>
    </w:pPr>
    <w:rPr>
      <w:rFonts w:ascii="宋体" w:hAnsi="宋体"/>
      <w:kern w:val="0"/>
      <w:sz w:val="24"/>
      <w:szCs w:val="20"/>
    </w:rPr>
  </w:style>
  <w:style w:type="paragraph" w:customStyle="1" w:styleId="184">
    <w:name w:val="Normal_2"/>
    <w:autoRedefine/>
    <w:qFormat/>
    <w:uiPriority w:val="99"/>
    <w:rPr>
      <w:rFonts w:ascii="Times New Roman" w:hAnsi="Times New Roman" w:eastAsia="Times New Roman" w:cs="Times New Roman"/>
      <w:sz w:val="24"/>
      <w:szCs w:val="24"/>
      <w:lang w:val="en-US" w:eastAsia="zh-CN" w:bidi="ar-SA"/>
    </w:rPr>
  </w:style>
  <w:style w:type="paragraph" w:customStyle="1" w:styleId="185">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186">
    <w:name w:val="Normal_4"/>
    <w:autoRedefine/>
    <w:qFormat/>
    <w:uiPriority w:val="0"/>
    <w:rPr>
      <w:rFonts w:ascii="Times New Roman" w:hAnsi="Times New Roman" w:eastAsia="Times New Roman" w:cs="Times New Roman"/>
      <w:sz w:val="24"/>
      <w:szCs w:val="24"/>
      <w:lang w:val="en-US" w:eastAsia="zh-CN" w:bidi="ar-SA"/>
    </w:rPr>
  </w:style>
  <w:style w:type="paragraph" w:customStyle="1" w:styleId="187">
    <w:name w:val="Normal_5"/>
    <w:autoRedefine/>
    <w:qFormat/>
    <w:uiPriority w:val="0"/>
    <w:rPr>
      <w:rFonts w:ascii="Times New Roman" w:hAnsi="Times New Roman" w:eastAsia="Times New Roman" w:cs="Times New Roman"/>
      <w:sz w:val="24"/>
      <w:szCs w:val="24"/>
      <w:lang w:val="en-US" w:eastAsia="zh-CN" w:bidi="ar-SA"/>
    </w:rPr>
  </w:style>
  <w:style w:type="character" w:customStyle="1" w:styleId="188">
    <w:name w:val="标题4 Char Char"/>
    <w:link w:val="189"/>
    <w:autoRedefine/>
    <w:qFormat/>
    <w:uiPriority w:val="0"/>
    <w:rPr>
      <w:rFonts w:ascii="Arial" w:hAnsi="Arial"/>
      <w:b/>
      <w:bCs/>
      <w:sz w:val="24"/>
      <w:szCs w:val="32"/>
    </w:rPr>
  </w:style>
  <w:style w:type="paragraph" w:customStyle="1" w:styleId="189">
    <w:name w:val="标题4"/>
    <w:basedOn w:val="3"/>
    <w:next w:val="21"/>
    <w:link w:val="188"/>
    <w:autoRedefine/>
    <w:qFormat/>
    <w:uiPriority w:val="0"/>
    <w:pPr>
      <w:jc w:val="both"/>
    </w:pPr>
    <w:rPr>
      <w:rFonts w:eastAsia="宋体" w:cs="Times New Roman"/>
      <w:kern w:val="0"/>
      <w:sz w:val="24"/>
      <w:szCs w:val="32"/>
    </w:rPr>
  </w:style>
  <w:style w:type="paragraph" w:customStyle="1" w:styleId="190">
    <w:name w:val="TOC 标题_0"/>
    <w:basedOn w:val="191"/>
    <w:next w:val="130"/>
    <w:autoRedefine/>
    <w:qFormat/>
    <w:uiPriority w:val="0"/>
    <w:pPr>
      <w:outlineLvl w:val="9"/>
    </w:pPr>
    <w:rPr>
      <w:rFonts w:ascii="Calibri" w:hAnsi="Calibri"/>
    </w:rPr>
  </w:style>
  <w:style w:type="paragraph" w:customStyle="1" w:styleId="191">
    <w:name w:val="标题 1_0"/>
    <w:basedOn w:val="130"/>
    <w:next w:val="130"/>
    <w:link w:val="192"/>
    <w:autoRedefine/>
    <w:qFormat/>
    <w:uiPriority w:val="0"/>
    <w:pPr>
      <w:keepNext/>
      <w:keepLines/>
      <w:spacing w:before="340" w:after="330" w:line="576" w:lineRule="auto"/>
      <w:outlineLvl w:val="0"/>
    </w:pPr>
    <w:rPr>
      <w:b/>
      <w:bCs/>
      <w:kern w:val="44"/>
      <w:sz w:val="44"/>
      <w:szCs w:val="44"/>
    </w:rPr>
  </w:style>
  <w:style w:type="character" w:customStyle="1" w:styleId="192">
    <w:name w:val="标题 1 Char_0"/>
    <w:link w:val="191"/>
    <w:autoRedefine/>
    <w:qFormat/>
    <w:uiPriority w:val="0"/>
    <w:rPr>
      <w:rFonts w:ascii="Times New Roman" w:hAnsi="Times New Roman"/>
      <w:b/>
      <w:bCs/>
      <w:kern w:val="44"/>
      <w:sz w:val="44"/>
      <w:szCs w:val="44"/>
    </w:rPr>
  </w:style>
  <w:style w:type="character" w:customStyle="1" w:styleId="193">
    <w:name w:val="超链接_0"/>
    <w:autoRedefine/>
    <w:qFormat/>
    <w:uiPriority w:val="99"/>
    <w:rPr>
      <w:rFonts w:ascii="Calibri" w:hAnsi="Calibri" w:cs="Times New Roman"/>
      <w:color w:val="0000FF"/>
      <w:u w:val="single"/>
    </w:rPr>
  </w:style>
  <w:style w:type="character" w:customStyle="1" w:styleId="194">
    <w:name w:val="纯文本 Char_0"/>
    <w:basedOn w:val="47"/>
    <w:autoRedefine/>
    <w:qFormat/>
    <w:uiPriority w:val="0"/>
    <w:rPr>
      <w:rFonts w:ascii="宋体" w:hAnsi="Courier New"/>
      <w:kern w:val="2"/>
      <w:sz w:val="21"/>
      <w:szCs w:val="21"/>
    </w:rPr>
  </w:style>
  <w:style w:type="paragraph" w:customStyle="1" w:styleId="195">
    <w:name w:val="Char12"/>
    <w:basedOn w:val="1"/>
    <w:autoRedefine/>
    <w:qFormat/>
    <w:uiPriority w:val="0"/>
    <w:rPr>
      <w:rFonts w:ascii="Calibri" w:hAnsi="Calibri"/>
      <w:sz w:val="24"/>
      <w:szCs w:val="24"/>
    </w:rPr>
  </w:style>
  <w:style w:type="paragraph" w:customStyle="1" w:styleId="196">
    <w:name w:val="Normal_0"/>
    <w:autoRedefine/>
    <w:qFormat/>
    <w:uiPriority w:val="99"/>
    <w:rPr>
      <w:rFonts w:ascii="Times New Roman" w:hAnsi="Times New Roman" w:eastAsia="Times New Roman" w:cs="Times New Roman"/>
      <w:sz w:val="24"/>
      <w:szCs w:val="24"/>
      <w:lang w:val="en-US" w:eastAsia="zh-CN" w:bidi="ar-SA"/>
    </w:rPr>
  </w:style>
  <w:style w:type="paragraph" w:customStyle="1" w:styleId="197">
    <w:name w:val="Normal_1"/>
    <w:autoRedefine/>
    <w:qFormat/>
    <w:uiPriority w:val="99"/>
    <w:rPr>
      <w:rFonts w:ascii="Times New Roman" w:hAnsi="Times New Roman" w:eastAsia="Times New Roman" w:cs="Times New Roman"/>
      <w:sz w:val="24"/>
      <w:szCs w:val="24"/>
      <w:lang w:val="en-US" w:eastAsia="zh-CN" w:bidi="ar-SA"/>
    </w:rPr>
  </w:style>
  <w:style w:type="paragraph" w:customStyle="1" w:styleId="198">
    <w:name w:val="标题 61"/>
    <w:basedOn w:val="130"/>
    <w:autoRedefine/>
    <w:qFormat/>
    <w:uiPriority w:val="1"/>
    <w:pPr>
      <w:autoSpaceDE w:val="0"/>
      <w:autoSpaceDN w:val="0"/>
      <w:adjustRightInd w:val="0"/>
      <w:ind w:left="100"/>
      <w:jc w:val="left"/>
      <w:outlineLvl w:val="5"/>
    </w:pPr>
    <w:rPr>
      <w:rFonts w:ascii="微软雅黑" w:eastAsia="微软雅黑" w:cs="微软雅黑"/>
      <w:b/>
      <w:bCs/>
      <w:kern w:val="0"/>
      <w:sz w:val="28"/>
      <w:szCs w:val="28"/>
    </w:rPr>
  </w:style>
  <w:style w:type="paragraph" w:customStyle="1" w:styleId="199">
    <w:name w:val="正文2"/>
    <w:autoRedefine/>
    <w:qFormat/>
    <w:uiPriority w:val="99"/>
    <w:rPr>
      <w:rFonts w:ascii="Times New Roman" w:hAnsi="Times New Roman" w:eastAsia="Times New Roman" w:cs="Times New Roman"/>
      <w:sz w:val="24"/>
      <w:szCs w:val="24"/>
      <w:lang w:val="en-US" w:eastAsia="zh-CN" w:bidi="ar-SA"/>
    </w:rPr>
  </w:style>
  <w:style w:type="paragraph" w:customStyle="1" w:styleId="200">
    <w:name w:val="Normal_6"/>
    <w:autoRedefine/>
    <w:qFormat/>
    <w:uiPriority w:val="0"/>
    <w:rPr>
      <w:rFonts w:ascii="Times New Roman" w:hAnsi="Times New Roman" w:eastAsia="Times New Roman" w:cs="Times New Roman"/>
      <w:sz w:val="24"/>
      <w:szCs w:val="24"/>
      <w:lang w:val="en-US" w:eastAsia="zh-CN" w:bidi="ar-SA"/>
    </w:rPr>
  </w:style>
  <w:style w:type="paragraph" w:customStyle="1" w:styleId="201">
    <w:name w:val="TOC 标题2"/>
    <w:basedOn w:val="2"/>
    <w:next w:val="1"/>
    <w:autoRedefine/>
    <w:unhideWhenUsed/>
    <w:qFormat/>
    <w:uiPriority w:val="0"/>
    <w:pPr>
      <w:widowControl/>
      <w:spacing w:line="578" w:lineRule="auto"/>
      <w:jc w:val="left"/>
      <w:outlineLvl w:val="9"/>
    </w:pPr>
    <w:rPr>
      <w:rFonts w:ascii="Calibri" w:hAnsi="Calibri" w:eastAsia="宋体"/>
      <w:sz w:val="44"/>
      <w:szCs w:val="44"/>
      <w:lang w:eastAsia="en-US" w:bidi="en-US"/>
    </w:rPr>
  </w:style>
  <w:style w:type="character" w:customStyle="1" w:styleId="202">
    <w:name w:val="不明显强调2"/>
    <w:autoRedefine/>
    <w:qFormat/>
    <w:uiPriority w:val="0"/>
    <w:rPr>
      <w:i/>
      <w:iCs/>
      <w:color w:val="808080"/>
    </w:rPr>
  </w:style>
  <w:style w:type="character" w:customStyle="1" w:styleId="203">
    <w:name w:val="明显参考2"/>
    <w:autoRedefine/>
    <w:qFormat/>
    <w:uiPriority w:val="0"/>
    <w:rPr>
      <w:b/>
      <w:bCs/>
      <w:smallCaps/>
      <w:color w:val="C0504D"/>
      <w:spacing w:val="5"/>
      <w:u w:val="single"/>
    </w:rPr>
  </w:style>
  <w:style w:type="character" w:customStyle="1" w:styleId="204">
    <w:name w:val="书籍标题2"/>
    <w:autoRedefine/>
    <w:qFormat/>
    <w:uiPriority w:val="0"/>
    <w:rPr>
      <w:b/>
      <w:bCs/>
      <w:smallCaps/>
      <w:spacing w:val="5"/>
    </w:rPr>
  </w:style>
  <w:style w:type="character" w:customStyle="1" w:styleId="205">
    <w:name w:val="明显强调2"/>
    <w:autoRedefine/>
    <w:qFormat/>
    <w:uiPriority w:val="0"/>
    <w:rPr>
      <w:b/>
      <w:bCs/>
      <w:i/>
      <w:iCs/>
      <w:color w:val="4F81BD"/>
    </w:rPr>
  </w:style>
  <w:style w:type="character" w:customStyle="1" w:styleId="206">
    <w:name w:val="不明显参考2"/>
    <w:autoRedefine/>
    <w:qFormat/>
    <w:uiPriority w:val="0"/>
    <w:rPr>
      <w:smallCaps/>
      <w:color w:val="C0504D"/>
      <w:u w:val="single"/>
    </w:rPr>
  </w:style>
  <w:style w:type="paragraph" w:customStyle="1" w:styleId="207">
    <w:name w:val="修订2"/>
    <w:autoRedefine/>
    <w:qFormat/>
    <w:uiPriority w:val="0"/>
    <w:rPr>
      <w:rFonts w:ascii="Times New Roman" w:hAnsi="Times New Roman" w:eastAsia="宋体" w:cs="Times New Roman"/>
      <w:kern w:val="2"/>
      <w:sz w:val="21"/>
      <w:szCs w:val="24"/>
      <w:lang w:val="en-US" w:eastAsia="zh-CN" w:bidi="ar-SA"/>
    </w:rPr>
  </w:style>
  <w:style w:type="character" w:customStyle="1" w:styleId="208">
    <w:name w:val="font21"/>
    <w:basedOn w:val="47"/>
    <w:autoRedefine/>
    <w:qFormat/>
    <w:uiPriority w:val="0"/>
    <w:rPr>
      <w:rFonts w:hint="eastAsia" w:ascii="宋体" w:hAnsi="宋体" w:eastAsia="宋体"/>
      <w:color w:val="000000"/>
      <w:sz w:val="20"/>
      <w:szCs w:val="20"/>
      <w:u w:val="none"/>
    </w:rPr>
  </w:style>
  <w:style w:type="character" w:customStyle="1" w:styleId="209">
    <w:name w:val="font01"/>
    <w:basedOn w:val="47"/>
    <w:autoRedefine/>
    <w:qFormat/>
    <w:uiPriority w:val="0"/>
    <w:rPr>
      <w:rFonts w:hint="eastAsia" w:ascii="宋体" w:hAnsi="宋体" w:eastAsia="宋体"/>
      <w:color w:val="FF0000"/>
      <w:sz w:val="20"/>
      <w:szCs w:val="20"/>
      <w:u w:val="none"/>
    </w:rPr>
  </w:style>
  <w:style w:type="paragraph" w:customStyle="1" w:styleId="210">
    <w:name w:val="目录 21"/>
    <w:basedOn w:val="1"/>
    <w:next w:val="1"/>
    <w:autoRedefine/>
    <w:unhideWhenUsed/>
    <w:qFormat/>
    <w:uiPriority w:val="0"/>
    <w:pPr>
      <w:ind w:left="420" w:leftChars="200"/>
    </w:pPr>
    <w:rPr>
      <w:rFonts w:ascii="Calibri" w:hAnsi="Calibri"/>
      <w:szCs w:val="22"/>
    </w:rPr>
  </w:style>
  <w:style w:type="paragraph" w:customStyle="1" w:styleId="211">
    <w:name w:val="目录 11"/>
    <w:basedOn w:val="1"/>
    <w:next w:val="1"/>
    <w:autoRedefine/>
    <w:unhideWhenUsed/>
    <w:qFormat/>
    <w:uiPriority w:val="0"/>
    <w:rPr>
      <w:rFonts w:ascii="Calibri" w:hAnsi="Calibri"/>
      <w:szCs w:val="22"/>
    </w:rPr>
  </w:style>
  <w:style w:type="paragraph" w:customStyle="1" w:styleId="21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1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214">
    <w:name w:val="访问过的超链接1"/>
    <w:autoRedefine/>
    <w:qFormat/>
    <w:uiPriority w:val="99"/>
    <w:rPr>
      <w:color w:val="800080"/>
      <w:u w:val="single"/>
    </w:rPr>
  </w:style>
  <w:style w:type="character" w:customStyle="1" w:styleId="215">
    <w:name w:val="正文首行缩进 Char"/>
    <w:basedOn w:val="69"/>
    <w:autoRedefine/>
    <w:qFormat/>
    <w:locked/>
    <w:uiPriority w:val="99"/>
    <w:rPr>
      <w:rFonts w:ascii="楷体_GB2312" w:hAnsi="Arial" w:eastAsia="楷体_GB2312"/>
      <w:b/>
      <w:kern w:val="44"/>
      <w:sz w:val="24"/>
      <w:szCs w:val="28"/>
    </w:rPr>
  </w:style>
  <w:style w:type="character" w:customStyle="1" w:styleId="216">
    <w:name w:val="正文文本首行缩进 字符"/>
    <w:basedOn w:val="69"/>
    <w:link w:val="44"/>
    <w:autoRedefine/>
    <w:semiHidden/>
    <w:qFormat/>
    <w:uiPriority w:val="99"/>
    <w:rPr>
      <w:rFonts w:ascii="Times New Roman" w:hAnsi="Times New Roman"/>
      <w:kern w:val="2"/>
      <w:sz w:val="21"/>
      <w:szCs w:val="21"/>
    </w:rPr>
  </w:style>
  <w:style w:type="character" w:customStyle="1" w:styleId="217">
    <w:name w:val="样式 小四 Char"/>
    <w:autoRedefine/>
    <w:qFormat/>
    <w:uiPriority w:val="99"/>
    <w:rPr>
      <w:rFonts w:eastAsia="宋体"/>
      <w:b/>
      <w:kern w:val="2"/>
      <w:sz w:val="24"/>
      <w:lang w:val="en-US" w:eastAsia="zh-CN"/>
    </w:rPr>
  </w:style>
  <w:style w:type="paragraph" w:customStyle="1" w:styleId="218">
    <w:name w:val="1"/>
    <w:basedOn w:val="1"/>
    <w:next w:val="27"/>
    <w:autoRedefine/>
    <w:qFormat/>
    <w:uiPriority w:val="99"/>
    <w:pPr>
      <w:tabs>
        <w:tab w:val="left" w:pos="1080"/>
      </w:tabs>
      <w:ind w:left="1080"/>
    </w:pPr>
    <w:rPr>
      <w:szCs w:val="24"/>
    </w:rPr>
  </w:style>
  <w:style w:type="paragraph" w:customStyle="1" w:styleId="219">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0">
    <w:name w:val="??"/>
    <w:autoRedefine/>
    <w:qFormat/>
    <w:uiPriority w:val="99"/>
    <w:pPr>
      <w:widowControl w:val="0"/>
      <w:autoSpaceDE w:val="0"/>
      <w:autoSpaceDN w:val="0"/>
    </w:pPr>
    <w:rPr>
      <w:rFonts w:ascii="??" w:hAnsi="Times New Roman" w:eastAsia="??" w:cs="Times New Roman"/>
      <w:lang w:val="en-US" w:eastAsia="zh-CN" w:bidi="ar-SA"/>
    </w:rPr>
  </w:style>
  <w:style w:type="paragraph" w:customStyle="1" w:styleId="221">
    <w:name w:val="正文 + 宋体"/>
    <w:basedOn w:val="1"/>
    <w:autoRedefine/>
    <w:qFormat/>
    <w:uiPriority w:val="99"/>
    <w:pPr>
      <w:autoSpaceDE w:val="0"/>
      <w:autoSpaceDN w:val="0"/>
      <w:adjustRightInd w:val="0"/>
      <w:spacing w:line="499" w:lineRule="exact"/>
      <w:jc w:val="center"/>
    </w:pPr>
    <w:rPr>
      <w:rFonts w:ascii="宋体" w:hAnsi="宋体"/>
      <w:kern w:val="0"/>
      <w:sz w:val="24"/>
      <w:szCs w:val="24"/>
    </w:rPr>
  </w:style>
  <w:style w:type="paragraph" w:customStyle="1" w:styleId="222">
    <w:name w:val="no body"/>
    <w:basedOn w:val="18"/>
    <w:autoRedefine/>
    <w:qFormat/>
    <w:uiPriority w:val="99"/>
    <w:pPr>
      <w:widowControl/>
      <w:tabs>
        <w:tab w:val="left" w:pos="1129"/>
      </w:tabs>
      <w:overflowPunct w:val="0"/>
      <w:autoSpaceDE w:val="0"/>
      <w:autoSpaceDN w:val="0"/>
      <w:adjustRightInd w:val="0"/>
      <w:spacing w:before="120" w:after="60"/>
      <w:ind w:left="1129" w:hanging="420"/>
      <w:textAlignment w:val="baseline"/>
    </w:pPr>
    <w:rPr>
      <w:rFonts w:ascii="楷体" w:hAnsi="Plotter" w:eastAsia="楷体" w:cs="Times New Roman"/>
      <w:color w:val="0000FF"/>
      <w:kern w:val="0"/>
      <w:szCs w:val="20"/>
      <w:lang w:eastAsia="en-US"/>
    </w:rPr>
  </w:style>
  <w:style w:type="paragraph" w:customStyle="1" w:styleId="223">
    <w:name w:val="Body Text 21"/>
    <w:basedOn w:val="1"/>
    <w:autoRedefine/>
    <w:qFormat/>
    <w:uiPriority w:val="99"/>
    <w:pPr>
      <w:widowControl/>
      <w:overflowPunct w:val="0"/>
      <w:autoSpaceDE w:val="0"/>
      <w:autoSpaceDN w:val="0"/>
      <w:adjustRightInd w:val="0"/>
      <w:spacing w:line="288" w:lineRule="auto"/>
      <w:textAlignment w:val="baseline"/>
    </w:pPr>
    <w:rPr>
      <w:rFonts w:ascii="宋体"/>
      <w:kern w:val="0"/>
      <w:sz w:val="24"/>
      <w:szCs w:val="20"/>
      <w:lang w:bidi="he-IL"/>
    </w:rPr>
  </w:style>
  <w:style w:type="paragraph" w:customStyle="1" w:styleId="224">
    <w:name w:val="样式5"/>
    <w:basedOn w:val="1"/>
    <w:next w:val="3"/>
    <w:autoRedefine/>
    <w:qFormat/>
    <w:uiPriority w:val="99"/>
    <w:rPr>
      <w:i/>
      <w:szCs w:val="24"/>
    </w:rPr>
  </w:style>
  <w:style w:type="paragraph" w:customStyle="1" w:styleId="225">
    <w:name w:val="xl24"/>
    <w:basedOn w:val="1"/>
    <w:autoRedefine/>
    <w:qFormat/>
    <w:uiPriority w:val="99"/>
    <w:pPr>
      <w:widowControl/>
      <w:spacing w:before="100" w:beforeAutospacing="1" w:after="100" w:afterAutospacing="1"/>
      <w:jc w:val="center"/>
    </w:pPr>
    <w:rPr>
      <w:rFonts w:ascii="宋体" w:hAnsi="宋体"/>
      <w:kern w:val="0"/>
      <w:sz w:val="24"/>
      <w:szCs w:val="24"/>
    </w:rPr>
  </w:style>
  <w:style w:type="paragraph" w:customStyle="1" w:styleId="226">
    <w:name w:val="font0"/>
    <w:basedOn w:val="1"/>
    <w:autoRedefine/>
    <w:qFormat/>
    <w:uiPriority w:val="99"/>
    <w:pPr>
      <w:widowControl/>
      <w:spacing w:before="100" w:beforeAutospacing="1" w:after="100" w:afterAutospacing="1"/>
      <w:jc w:val="left"/>
    </w:pPr>
    <w:rPr>
      <w:rFonts w:ascii="宋体" w:hAnsi="宋体" w:cs="Arial Unicode MS"/>
      <w:kern w:val="0"/>
      <w:sz w:val="24"/>
      <w:szCs w:val="24"/>
    </w:rPr>
  </w:style>
  <w:style w:type="paragraph" w:customStyle="1" w:styleId="227">
    <w:name w:val="样式 小四"/>
    <w:basedOn w:val="1"/>
    <w:next w:val="1"/>
    <w:autoRedefine/>
    <w:qFormat/>
    <w:uiPriority w:val="99"/>
    <w:pPr>
      <w:ind w:left="538" w:leftChars="298" w:firstLine="361" w:firstLineChars="150"/>
    </w:pPr>
    <w:rPr>
      <w:b/>
      <w:sz w:val="24"/>
      <w:szCs w:val="24"/>
    </w:rPr>
  </w:style>
  <w:style w:type="paragraph" w:customStyle="1" w:styleId="228">
    <w:name w:val="2"/>
    <w:basedOn w:val="1"/>
    <w:next w:val="38"/>
    <w:autoRedefine/>
    <w:qFormat/>
    <w:uiPriority w:val="99"/>
    <w:pPr>
      <w:spacing w:before="20" w:after="20"/>
    </w:pPr>
    <w:rPr>
      <w:rFonts w:ascii="宋体" w:hAnsi="宋体"/>
      <w:color w:val="FF00FF"/>
      <w:sz w:val="24"/>
      <w:szCs w:val="24"/>
    </w:rPr>
  </w:style>
  <w:style w:type="paragraph" w:customStyle="1" w:styleId="229">
    <w:name w:val="正文 + 五号"/>
    <w:basedOn w:val="1"/>
    <w:autoRedefine/>
    <w:qFormat/>
    <w:uiPriority w:val="99"/>
    <w:pPr>
      <w:widowControl/>
      <w:spacing w:line="360" w:lineRule="auto"/>
      <w:ind w:firstLine="420" w:firstLineChars="200"/>
      <w:jc w:val="left"/>
    </w:pPr>
    <w:rPr>
      <w:kern w:val="0"/>
    </w:rPr>
  </w:style>
  <w:style w:type="paragraph" w:customStyle="1" w:styleId="230">
    <w:name w:val="xl22"/>
    <w:basedOn w:val="1"/>
    <w:autoRedefine/>
    <w:qFormat/>
    <w:uiPriority w:val="99"/>
    <w:pPr>
      <w:widowControl/>
      <w:spacing w:before="100" w:beforeAutospacing="1" w:after="100" w:afterAutospacing="1"/>
      <w:jc w:val="center"/>
      <w:textAlignment w:val="center"/>
    </w:pPr>
    <w:rPr>
      <w:rFonts w:ascii="宋体" w:hAnsi="宋体"/>
      <w:kern w:val="0"/>
      <w:sz w:val="20"/>
      <w:szCs w:val="20"/>
    </w:rPr>
  </w:style>
  <w:style w:type="paragraph" w:customStyle="1" w:styleId="231">
    <w:name w:val="flName"/>
    <w:basedOn w:val="1"/>
    <w:autoRedefine/>
    <w:qFormat/>
    <w:uiPriority w:val="99"/>
    <w:pPr>
      <w:adjustRightInd w:val="0"/>
      <w:spacing w:before="320" w:after="160" w:line="360" w:lineRule="atLeast"/>
      <w:jc w:val="center"/>
      <w:textAlignment w:val="baseline"/>
    </w:pPr>
    <w:rPr>
      <w:rFonts w:ascii="Arial" w:eastAsia="黑体"/>
      <w:kern w:val="0"/>
      <w:sz w:val="32"/>
      <w:szCs w:val="20"/>
    </w:rPr>
  </w:style>
  <w:style w:type="paragraph" w:customStyle="1" w:styleId="232">
    <w:name w:val="样式9"/>
    <w:basedOn w:val="227"/>
    <w:next w:val="3"/>
    <w:autoRedefine/>
    <w:qFormat/>
    <w:uiPriority w:val="99"/>
  </w:style>
  <w:style w:type="paragraph" w:customStyle="1" w:styleId="233">
    <w:name w:val="样式6"/>
    <w:basedOn w:val="3"/>
    <w:autoRedefine/>
    <w:qFormat/>
    <w:uiPriority w:val="99"/>
    <w:pPr>
      <w:spacing w:before="0" w:after="0" w:line="240" w:lineRule="auto"/>
      <w:jc w:val="both"/>
    </w:pPr>
    <w:rPr>
      <w:rFonts w:ascii="宋体" w:hAnsi="宋体" w:eastAsia="宋体" w:cs="Times New Roman"/>
      <w:sz w:val="24"/>
      <w:szCs w:val="24"/>
    </w:rPr>
  </w:style>
  <w:style w:type="paragraph" w:customStyle="1" w:styleId="234">
    <w:name w:val="样式7"/>
    <w:basedOn w:val="1"/>
    <w:next w:val="233"/>
    <w:autoRedefine/>
    <w:qFormat/>
    <w:uiPriority w:val="99"/>
    <w:rPr>
      <w:szCs w:val="24"/>
    </w:rPr>
  </w:style>
  <w:style w:type="paragraph" w:customStyle="1" w:styleId="235">
    <w:name w:val="样式4"/>
    <w:basedOn w:val="1"/>
    <w:autoRedefine/>
    <w:qFormat/>
    <w:uiPriority w:val="99"/>
    <w:rPr>
      <w:szCs w:val="24"/>
    </w:rPr>
  </w:style>
  <w:style w:type="paragraph" w:customStyle="1" w:styleId="236">
    <w:name w:val="Achievement"/>
    <w:basedOn w:val="1"/>
    <w:autoRedefine/>
    <w:qFormat/>
    <w:uiPriority w:val="99"/>
    <w:pPr>
      <w:tabs>
        <w:tab w:val="left" w:pos="3600"/>
      </w:tabs>
      <w:ind w:left="3600" w:hanging="360"/>
    </w:pPr>
    <w:rPr>
      <w:szCs w:val="24"/>
    </w:rPr>
  </w:style>
  <w:style w:type="paragraph" w:customStyle="1" w:styleId="237">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38">
    <w:name w:val="ask-title"/>
    <w:basedOn w:val="47"/>
    <w:autoRedefine/>
    <w:qFormat/>
    <w:uiPriority w:val="0"/>
  </w:style>
  <w:style w:type="character" w:customStyle="1" w:styleId="239">
    <w:name w:val="标题 3 Char1"/>
    <w:autoRedefine/>
    <w:semiHidden/>
    <w:qFormat/>
    <w:uiPriority w:val="9"/>
    <w:rPr>
      <w:b/>
      <w:bCs/>
      <w:kern w:val="2"/>
      <w:sz w:val="32"/>
      <w:szCs w:val="32"/>
    </w:rPr>
  </w:style>
  <w:style w:type="character" w:customStyle="1" w:styleId="240">
    <w:name w:val="正文文本缩进 3 Char1"/>
    <w:basedOn w:val="47"/>
    <w:autoRedefine/>
    <w:semiHidden/>
    <w:qFormat/>
    <w:uiPriority w:val="99"/>
    <w:rPr>
      <w:kern w:val="2"/>
      <w:sz w:val="16"/>
      <w:szCs w:val="16"/>
    </w:rPr>
  </w:style>
  <w:style w:type="character" w:customStyle="1" w:styleId="241">
    <w:name w:val="正文文本 3 Char1"/>
    <w:basedOn w:val="47"/>
    <w:autoRedefine/>
    <w:semiHidden/>
    <w:qFormat/>
    <w:uiPriority w:val="99"/>
    <w:rPr>
      <w:kern w:val="2"/>
      <w:sz w:val="16"/>
      <w:szCs w:val="16"/>
    </w:rPr>
  </w:style>
  <w:style w:type="character" w:customStyle="1" w:styleId="242">
    <w:name w:val="文档结构图 Char2"/>
    <w:basedOn w:val="47"/>
    <w:autoRedefine/>
    <w:semiHidden/>
    <w:qFormat/>
    <w:uiPriority w:val="99"/>
    <w:rPr>
      <w:rFonts w:ascii="宋体"/>
      <w:kern w:val="2"/>
      <w:sz w:val="18"/>
      <w:szCs w:val="18"/>
    </w:rPr>
  </w:style>
  <w:style w:type="character" w:customStyle="1" w:styleId="243">
    <w:name w:val="正文文本 2 Char1"/>
    <w:basedOn w:val="47"/>
    <w:autoRedefine/>
    <w:semiHidden/>
    <w:qFormat/>
    <w:uiPriority w:val="99"/>
    <w:rPr>
      <w:kern w:val="2"/>
      <w:sz w:val="21"/>
      <w:szCs w:val="22"/>
    </w:rPr>
  </w:style>
  <w:style w:type="character" w:customStyle="1" w:styleId="244">
    <w:name w:val="批注文字 Char1"/>
    <w:basedOn w:val="47"/>
    <w:autoRedefine/>
    <w:semiHidden/>
    <w:qFormat/>
    <w:uiPriority w:val="99"/>
    <w:rPr>
      <w:kern w:val="2"/>
      <w:sz w:val="21"/>
      <w:szCs w:val="22"/>
    </w:rPr>
  </w:style>
  <w:style w:type="character" w:customStyle="1" w:styleId="245">
    <w:name w:val="正文文本缩进 Char1"/>
    <w:basedOn w:val="47"/>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ED766-387C-456E-AA69-CABCD156442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50</Pages>
  <Words>10486</Words>
  <Characters>10620</Characters>
  <Lines>1008</Lines>
  <Paragraphs>1110</Paragraphs>
  <TotalTime>5</TotalTime>
  <ScaleCrop>false</ScaleCrop>
  <LinksUpToDate>false</LinksUpToDate>
  <CharactersWithSpaces>11258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2026-05-17T03:01:00Z</dcterms:created>
  <dc:creator>ASUS</dc:creator>
  <cp:lastModifiedBy>卟卟</cp:lastModifiedBy>
  <cp:lastPrinted>2024-04-02T03:04:00Z</cp:lastPrinted>
  <dcterms:modified xsi:type="dcterms:W3CDTF">2026-05-18T03:36:06Z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4D6D473705DD44C5BAA20202F513BCB1_13</vt:lpwstr>
  </property>
  <property fmtid="{D5CDD505-2E9C-101B-9397-08002B2CF9AE}" pid="4" name="KSOTemplateDocerSaveRecord">
    <vt:lpwstr>eyJoZGlkIjoiMjIwMmMxOWRiZjBlN2VhNmQxZGVkOWQwZDU5OTE1MjAiLCJ1c2VySWQiOiIzNjM0OTMxNDYifQ==</vt:lpwstr>
  </property>
</Properties>
</file>